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331F" w:rsidRPr="003E05F6" w:rsidRDefault="000E6430" w:rsidP="003E05F6">
      <w:pPr>
        <w:pStyle w:val="Szvegtrzs"/>
        <w:spacing w:before="240" w:after="480" w:line="240" w:lineRule="auto"/>
        <w:jc w:val="center"/>
        <w:rPr>
          <w:rFonts w:cs="Times New Roman"/>
          <w:b/>
          <w:bCs/>
        </w:rPr>
      </w:pPr>
      <w:r w:rsidRPr="003E05F6">
        <w:rPr>
          <w:rFonts w:cs="Times New Roman"/>
          <w:b/>
          <w:bCs/>
        </w:rPr>
        <w:t>Zalaszentgrót Város Önkormányzata Képviselő-testületének 1/2023. (II. 16.) önkormányzati rendelete</w:t>
      </w:r>
    </w:p>
    <w:p w:rsidR="0003331F" w:rsidRPr="003E05F6" w:rsidRDefault="000E6430" w:rsidP="003E05F6">
      <w:pPr>
        <w:pStyle w:val="Szvegtrzs"/>
        <w:spacing w:before="240" w:after="480" w:line="240" w:lineRule="auto"/>
        <w:jc w:val="center"/>
        <w:rPr>
          <w:rFonts w:cs="Times New Roman"/>
          <w:b/>
          <w:bCs/>
        </w:rPr>
      </w:pPr>
      <w:r w:rsidRPr="003E05F6">
        <w:rPr>
          <w:rFonts w:cs="Times New Roman"/>
          <w:b/>
          <w:bCs/>
        </w:rPr>
        <w:t>a temetőkről és a temetkezésről szóló 26/2014 (XI.28.) önkormányzati rendelet módosításáról</w:t>
      </w:r>
    </w:p>
    <w:p w:rsidR="0003331F" w:rsidRPr="003E05F6" w:rsidRDefault="000E6430" w:rsidP="003E05F6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3E05F6">
        <w:rPr>
          <w:rFonts w:cs="Times New Roman"/>
        </w:rPr>
        <w:t>Zalaszentgrót Város Önkormányzatának Képviselő-testülete a temetőkről és a temetkezésről szóló 1999. évi XLIII. törvény 6. § (4) bekezdésében, 40. § (1) és (3) bekezdésében, 41. § (3) bekezdésében, 42. §-</w:t>
      </w:r>
      <w:proofErr w:type="spellStart"/>
      <w:r w:rsidRPr="003E05F6">
        <w:rPr>
          <w:rFonts w:cs="Times New Roman"/>
        </w:rPr>
        <w:t>ában</w:t>
      </w:r>
      <w:proofErr w:type="spellEnd"/>
      <w:r w:rsidRPr="003E05F6">
        <w:rPr>
          <w:rFonts w:cs="Times New Roman"/>
        </w:rPr>
        <w:t xml:space="preserve"> kapott felhatalmazás alapján az Alaptörvény 32. cikk (1) bekezdés a) pontjában és a Magyarország helyi önkormányzatairól szóló 2011. évi CLXXXIX. törvény 13. § (1) bekezdés 2. pontjában meghatározott feladatkörében eljárva, figyelemmel a temetőkről és temetkezésről szóló 1999. évi XLIII. törvény végrehajtásáról szóló 145/1999. (X. 1.) Korm. rendelet rendelkezéseire, a temetőkről és temetkezésről szóló 26/2014 (XI.28.) önkormányzati rendelet módosításáról a következőket rendeli el:</w:t>
      </w:r>
    </w:p>
    <w:p w:rsidR="0003331F" w:rsidRPr="003E05F6" w:rsidRDefault="000E6430" w:rsidP="003E05F6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3E05F6">
        <w:rPr>
          <w:rFonts w:cs="Times New Roman"/>
          <w:b/>
          <w:bCs/>
        </w:rPr>
        <w:t>1. §</w:t>
      </w:r>
    </w:p>
    <w:p w:rsidR="0003331F" w:rsidRPr="003E05F6" w:rsidRDefault="000E6430" w:rsidP="003E05F6">
      <w:pPr>
        <w:pStyle w:val="Szvegtrzs"/>
        <w:spacing w:after="0" w:line="240" w:lineRule="auto"/>
        <w:jc w:val="both"/>
        <w:rPr>
          <w:rFonts w:cs="Times New Roman"/>
        </w:rPr>
      </w:pPr>
      <w:r w:rsidRPr="003E05F6">
        <w:rPr>
          <w:rFonts w:cs="Times New Roman"/>
        </w:rPr>
        <w:t>A Zalaszentgrót Város Önkormányzat Képviselő-testületének a temetőkről és temetkezésről szóló 26/2014 (XI.28.) önkormányzati rendelet bevezető része helyébe a következő rendelkezés lép:</w:t>
      </w:r>
    </w:p>
    <w:p w:rsidR="0003331F" w:rsidRPr="003E05F6" w:rsidRDefault="000E6430" w:rsidP="003E05F6">
      <w:pPr>
        <w:pStyle w:val="Szvegtrzs"/>
        <w:spacing w:before="240" w:after="240" w:line="240" w:lineRule="auto"/>
        <w:jc w:val="both"/>
        <w:rPr>
          <w:rFonts w:cs="Times New Roman"/>
        </w:rPr>
      </w:pPr>
      <w:r w:rsidRPr="003E05F6">
        <w:rPr>
          <w:rFonts w:cs="Times New Roman"/>
        </w:rPr>
        <w:t>„Zalaszentgrót Város Önkormányzatának Képviselő-testülete a temetőkről és a temetkezésről szóló 1999. évi XLIII. törvény 6. § (4) bekezdésében, 40. § (1) és (3) bekezdésében, 41. § (3) bekezdésében, 42. §-</w:t>
      </w:r>
      <w:proofErr w:type="spellStart"/>
      <w:r w:rsidRPr="003E05F6">
        <w:rPr>
          <w:rFonts w:cs="Times New Roman"/>
        </w:rPr>
        <w:t>ában</w:t>
      </w:r>
      <w:proofErr w:type="spellEnd"/>
      <w:r w:rsidRPr="003E05F6">
        <w:rPr>
          <w:rFonts w:cs="Times New Roman"/>
        </w:rPr>
        <w:t xml:space="preserve"> kapott felhatalmazás alapján az Alaptörvény 32. cikk (1) bekezdés a) pontjában és a Magyarország helyi önkormányzatairól szóló 2011. évi CLXXXIX. törvény 13. § (1) bekezdés 2. pontjában meghatározott feladatkörében eljárva, figyelemmel a temetőkről és temetkezésről szóló 1999. évi XLIII. törvény végrehajtásáról szóló 145/1999. (X. 1.) Korm. rendelet rendelkezéseire, a temetőkről és temetkezésről a következőket rendeli el:”</w:t>
      </w:r>
    </w:p>
    <w:p w:rsidR="0003331F" w:rsidRPr="003E05F6" w:rsidRDefault="000E6430" w:rsidP="003E05F6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3E05F6">
        <w:rPr>
          <w:rFonts w:cs="Times New Roman"/>
          <w:b/>
          <w:bCs/>
        </w:rPr>
        <w:t>2. §</w:t>
      </w:r>
    </w:p>
    <w:p w:rsidR="0003331F" w:rsidRPr="003E05F6" w:rsidRDefault="000E6430" w:rsidP="003E05F6">
      <w:pPr>
        <w:pStyle w:val="Szvegtrzs"/>
        <w:spacing w:after="0" w:line="240" w:lineRule="auto"/>
        <w:jc w:val="both"/>
        <w:rPr>
          <w:rFonts w:cs="Times New Roman"/>
        </w:rPr>
      </w:pPr>
      <w:r w:rsidRPr="003E05F6">
        <w:rPr>
          <w:rFonts w:cs="Times New Roman"/>
        </w:rPr>
        <w:t xml:space="preserve">A Zalaszentgrót Város Önkormányzat Képviselő-testületének a temetőkről és temetkezésről szóló 26/2014 (XI.28.) önkormányzati rendelet 7. §-a </w:t>
      </w:r>
      <w:proofErr w:type="spellStart"/>
      <w:r w:rsidRPr="003E05F6">
        <w:rPr>
          <w:rFonts w:cs="Times New Roman"/>
        </w:rPr>
        <w:t>a</w:t>
      </w:r>
      <w:proofErr w:type="spellEnd"/>
      <w:r w:rsidRPr="003E05F6">
        <w:rPr>
          <w:rFonts w:cs="Times New Roman"/>
        </w:rPr>
        <w:t xml:space="preserve"> következő (</w:t>
      </w:r>
      <w:proofErr w:type="gramStart"/>
      <w:r w:rsidRPr="003E05F6">
        <w:rPr>
          <w:rFonts w:cs="Times New Roman"/>
        </w:rPr>
        <w:t>6)–</w:t>
      </w:r>
      <w:proofErr w:type="gramEnd"/>
      <w:r w:rsidRPr="003E05F6">
        <w:rPr>
          <w:rFonts w:cs="Times New Roman"/>
        </w:rPr>
        <w:t>(9) bekezdéssel egészül ki:</w:t>
      </w:r>
    </w:p>
    <w:p w:rsidR="0003331F" w:rsidRPr="003E05F6" w:rsidRDefault="000E6430" w:rsidP="003E05F6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3E05F6">
        <w:rPr>
          <w:rFonts w:cs="Times New Roman"/>
        </w:rPr>
        <w:t>„(6) A ravatalozó használata nem kötelező, ha a köztemetőbe szállított halott haladéktalanul eltemetésre kerül.</w:t>
      </w:r>
    </w:p>
    <w:p w:rsidR="0003331F" w:rsidRPr="003E05F6" w:rsidRDefault="000E6430" w:rsidP="003E05F6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3E05F6">
        <w:rPr>
          <w:rFonts w:cs="Times New Roman"/>
        </w:rPr>
        <w:t>(7) A köztemetőbe beszállított, - kötelező azonosítást követően - haladéktalanul eltemetésre nem kerülő elhunytak holttestét a temetkezési szolgáltató köteles a temetésig a ravatalozó épületben hűtött ravatalasztalon tartani a temetési helyre történő elhelyezésig.</w:t>
      </w:r>
    </w:p>
    <w:p w:rsidR="0003331F" w:rsidRPr="003E05F6" w:rsidRDefault="000E6430" w:rsidP="003E05F6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3E05F6">
        <w:rPr>
          <w:rFonts w:cs="Times New Roman"/>
        </w:rPr>
        <w:t xml:space="preserve">(8) </w:t>
      </w:r>
      <w:proofErr w:type="spellStart"/>
      <w:r w:rsidRPr="003E05F6">
        <w:rPr>
          <w:rFonts w:cs="Times New Roman"/>
        </w:rPr>
        <w:t>Hamvasztásos</w:t>
      </w:r>
      <w:proofErr w:type="spellEnd"/>
      <w:r w:rsidRPr="003E05F6">
        <w:rPr>
          <w:rFonts w:cs="Times New Roman"/>
        </w:rPr>
        <w:t xml:space="preserve"> temetés esetén, amennyiben nem kerül sor az urnában lévő hamvak haladéktalan elhelyezésre az urnát a temetési helyen, a ravatalozó épületében kell tartani a temetés, vagy a temetési helyre történő elhelyezés időpontjáig.</w:t>
      </w:r>
    </w:p>
    <w:p w:rsidR="0003331F" w:rsidRPr="003E05F6" w:rsidRDefault="000E6430" w:rsidP="003E05F6">
      <w:pPr>
        <w:pStyle w:val="Szvegtrzs"/>
        <w:spacing w:before="240" w:after="240" w:line="240" w:lineRule="auto"/>
        <w:jc w:val="both"/>
        <w:rPr>
          <w:rFonts w:cs="Times New Roman"/>
        </w:rPr>
      </w:pPr>
      <w:r w:rsidRPr="003E05F6">
        <w:rPr>
          <w:rFonts w:cs="Times New Roman"/>
        </w:rPr>
        <w:t>(9) A ravatalozó rendszeres takarításáról, szükség szerinti fertőtlenítéséről az Önkormányzat gondoskodik.”</w:t>
      </w:r>
    </w:p>
    <w:p w:rsidR="0003331F" w:rsidRPr="003E05F6" w:rsidRDefault="000E6430" w:rsidP="003E05F6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3E05F6">
        <w:rPr>
          <w:rFonts w:cs="Times New Roman"/>
          <w:b/>
          <w:bCs/>
        </w:rPr>
        <w:t>3. §</w:t>
      </w:r>
    </w:p>
    <w:p w:rsidR="0003331F" w:rsidRPr="003E05F6" w:rsidRDefault="000E6430" w:rsidP="003E05F6">
      <w:pPr>
        <w:pStyle w:val="Szvegtrzs"/>
        <w:spacing w:after="0" w:line="240" w:lineRule="auto"/>
        <w:jc w:val="both"/>
        <w:rPr>
          <w:rFonts w:cs="Times New Roman"/>
        </w:rPr>
      </w:pPr>
      <w:r w:rsidRPr="003E05F6">
        <w:rPr>
          <w:rFonts w:cs="Times New Roman"/>
        </w:rPr>
        <w:lastRenderedPageBreak/>
        <w:t>(1) A Zalaszentgrót Város Önkormányzat Képviselő-testületének a temetőkről és temetkezésről szóló 26/2014 (XI.28.) önkormányzati rendelet 1. melléklete helyébe a 1. melléklet lép.</w:t>
      </w:r>
    </w:p>
    <w:p w:rsidR="0003331F" w:rsidRPr="003E05F6" w:rsidRDefault="000E6430" w:rsidP="003E05F6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3E05F6">
        <w:rPr>
          <w:rFonts w:cs="Times New Roman"/>
        </w:rPr>
        <w:t>(2) A Zalaszentgrót Város Önkormányzat Képviselő-testületének 26/2014. (XI. 28.) számú önkormányzati rendelete a temetőkről és temetkezésről szóló 26/2014 (XI.28.) önkormányzati rendelet 2. melléklete helyébe a 2. melléklet lép.</w:t>
      </w:r>
    </w:p>
    <w:p w:rsidR="0003331F" w:rsidRPr="003E05F6" w:rsidRDefault="000E6430" w:rsidP="003E05F6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3E05F6">
        <w:rPr>
          <w:rFonts w:cs="Times New Roman"/>
        </w:rPr>
        <w:t>(3) A Zalaszentgrót Város Önkormányzat Képviselő-testületének 26/2014. (XI. 28.) számú önkormányzati rendelete a temetőkről és temetkezésről szóló 26/2014 (XI.28.) önkormányzati rendelet 3. melléklete helyébe a 3. melléklet lép.</w:t>
      </w:r>
    </w:p>
    <w:p w:rsidR="0003331F" w:rsidRPr="003E05F6" w:rsidRDefault="000E6430" w:rsidP="003E05F6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3E05F6">
        <w:rPr>
          <w:rFonts w:cs="Times New Roman"/>
          <w:b/>
          <w:bCs/>
        </w:rPr>
        <w:t>4. §</w:t>
      </w:r>
    </w:p>
    <w:p w:rsidR="00F10B13" w:rsidRDefault="000E6430" w:rsidP="003E05F6">
      <w:pPr>
        <w:pStyle w:val="Szvegtrzs"/>
        <w:spacing w:after="0" w:line="240" w:lineRule="auto"/>
        <w:jc w:val="both"/>
        <w:rPr>
          <w:rFonts w:cs="Times New Roman"/>
        </w:rPr>
      </w:pPr>
      <w:r w:rsidRPr="003E05F6">
        <w:rPr>
          <w:rFonts w:cs="Times New Roman"/>
        </w:rPr>
        <w:t>Ez a rendelet a kihirdetését követő napon lép hatályba, és a kihirdetését követő második napon hatályát veszti.</w:t>
      </w:r>
    </w:p>
    <w:p w:rsidR="0003331F" w:rsidRDefault="0003331F" w:rsidP="003E05F6">
      <w:pPr>
        <w:pStyle w:val="Szvegtrzs"/>
        <w:spacing w:after="0" w:line="240" w:lineRule="auto"/>
        <w:jc w:val="both"/>
        <w:rPr>
          <w:rFonts w:cs="Times New Roman"/>
        </w:rPr>
      </w:pPr>
    </w:p>
    <w:p w:rsidR="00F10B13" w:rsidRDefault="00F10B13" w:rsidP="003E05F6">
      <w:pPr>
        <w:pStyle w:val="Szvegtrzs"/>
        <w:spacing w:after="0" w:line="240" w:lineRule="auto"/>
        <w:jc w:val="both"/>
        <w:rPr>
          <w:rFonts w:cs="Times New Roman"/>
        </w:rPr>
      </w:pPr>
    </w:p>
    <w:p w:rsidR="00F10B13" w:rsidRPr="00D75E15" w:rsidRDefault="00F10B13" w:rsidP="00F10B13">
      <w:pPr>
        <w:jc w:val="both"/>
      </w:pPr>
    </w:p>
    <w:p w:rsidR="00F10B13" w:rsidRPr="00D75E15" w:rsidRDefault="00F10B13" w:rsidP="00F10B13">
      <w:pPr>
        <w:jc w:val="both"/>
      </w:pPr>
    </w:p>
    <w:p w:rsidR="00F10B13" w:rsidRPr="00D75E15" w:rsidRDefault="00F10B13" w:rsidP="00F10B13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10B13" w:rsidRPr="00D75E15" w:rsidTr="009F23A1">
        <w:tc>
          <w:tcPr>
            <w:tcW w:w="4606" w:type="dxa"/>
          </w:tcPr>
          <w:p w:rsidR="00F10B13" w:rsidRPr="00D75E15" w:rsidRDefault="00F10B13" w:rsidP="009F23A1">
            <w:pPr>
              <w:spacing w:line="276" w:lineRule="auto"/>
              <w:jc w:val="center"/>
              <w:rPr>
                <w:rFonts w:eastAsia="Lucida Sans Unicode" w:cs="Times New Roman"/>
                <w:b/>
                <w:kern w:val="1"/>
                <w:lang w:eastAsia="en-US" w:bidi="ar-SA"/>
              </w:rPr>
            </w:pPr>
            <w:r w:rsidRPr="00D75E15">
              <w:rPr>
                <w:rFonts w:eastAsia="Lucida Sans Unicode" w:cs="Times New Roman"/>
                <w:b/>
                <w:kern w:val="1"/>
                <w:lang w:eastAsia="en-US" w:bidi="ar-SA"/>
              </w:rPr>
              <w:t>Baracskai József</w:t>
            </w:r>
          </w:p>
          <w:p w:rsidR="00F10B13" w:rsidRPr="00D75E15" w:rsidRDefault="00F10B13" w:rsidP="009F23A1">
            <w:pPr>
              <w:spacing w:line="276" w:lineRule="auto"/>
              <w:jc w:val="center"/>
              <w:rPr>
                <w:rFonts w:eastAsia="Lucida Sans Unicode" w:cs="Times New Roman"/>
                <w:kern w:val="1"/>
                <w:lang w:eastAsia="en-US" w:bidi="ar-SA"/>
              </w:rPr>
            </w:pPr>
            <w:r w:rsidRPr="00D75E15">
              <w:rPr>
                <w:rFonts w:eastAsia="Lucida Sans Unicode" w:cs="Times New Roman"/>
                <w:kern w:val="1"/>
                <w:lang w:eastAsia="en-US" w:bidi="ar-SA"/>
              </w:rPr>
              <w:t xml:space="preserve"> polgármester</w:t>
            </w:r>
          </w:p>
        </w:tc>
        <w:tc>
          <w:tcPr>
            <w:tcW w:w="4606" w:type="dxa"/>
          </w:tcPr>
          <w:p w:rsidR="00F10B13" w:rsidRPr="00D75E15" w:rsidRDefault="00F10B13" w:rsidP="009F23A1">
            <w:pPr>
              <w:spacing w:line="276" w:lineRule="auto"/>
              <w:jc w:val="center"/>
              <w:rPr>
                <w:rFonts w:eastAsia="Lucida Sans Unicode" w:cs="Times New Roman"/>
                <w:b/>
                <w:kern w:val="1"/>
                <w:lang w:eastAsia="en-US" w:bidi="ar-SA"/>
              </w:rPr>
            </w:pPr>
            <w:r w:rsidRPr="00D75E15">
              <w:rPr>
                <w:rFonts w:eastAsia="Lucida Sans Unicode" w:cs="Times New Roman"/>
                <w:b/>
                <w:kern w:val="1"/>
                <w:lang w:eastAsia="en-US" w:bidi="ar-SA"/>
              </w:rPr>
              <w:t>Dr. Simon Beáta</w:t>
            </w:r>
          </w:p>
          <w:p w:rsidR="00F10B13" w:rsidRPr="00D75E15" w:rsidRDefault="00F10B13" w:rsidP="009F23A1">
            <w:pPr>
              <w:spacing w:line="276" w:lineRule="auto"/>
              <w:jc w:val="center"/>
              <w:rPr>
                <w:rFonts w:eastAsia="Lucida Sans Unicode" w:cs="Times New Roman"/>
                <w:kern w:val="1"/>
                <w:lang w:eastAsia="en-US" w:bidi="ar-SA"/>
              </w:rPr>
            </w:pPr>
            <w:r w:rsidRPr="00D75E15">
              <w:rPr>
                <w:rFonts w:eastAsia="Lucida Sans Unicode" w:cs="Times New Roman"/>
                <w:kern w:val="1"/>
                <w:lang w:eastAsia="en-US" w:bidi="ar-SA"/>
              </w:rPr>
              <w:t>jegyző</w:t>
            </w:r>
          </w:p>
        </w:tc>
      </w:tr>
    </w:tbl>
    <w:p w:rsidR="00F10B13" w:rsidRPr="00D75E15" w:rsidRDefault="00F10B13" w:rsidP="00F10B13">
      <w:pPr>
        <w:spacing w:line="276" w:lineRule="auto"/>
        <w:rPr>
          <w:rFonts w:eastAsia="Lucida Sans Unicode" w:cs="Times New Roman"/>
          <w:kern w:val="1"/>
          <w:lang w:eastAsia="en-US" w:bidi="ar-SA"/>
        </w:rPr>
      </w:pPr>
    </w:p>
    <w:p w:rsidR="00F10B13" w:rsidRPr="00D75E15" w:rsidRDefault="00F10B13" w:rsidP="00F10B13">
      <w:pPr>
        <w:spacing w:line="276" w:lineRule="auto"/>
        <w:rPr>
          <w:rFonts w:eastAsia="Lucida Sans Unicode" w:cs="Times New Roman"/>
          <w:kern w:val="1"/>
          <w:lang w:eastAsia="en-US" w:bidi="ar-SA"/>
        </w:rPr>
      </w:pPr>
    </w:p>
    <w:p w:rsidR="00F10B13" w:rsidRPr="00D75E15" w:rsidRDefault="00F10B13" w:rsidP="00F10B13">
      <w:pPr>
        <w:spacing w:line="276" w:lineRule="auto"/>
        <w:rPr>
          <w:rFonts w:eastAsia="Lucida Sans Unicode" w:cs="Times New Roman"/>
          <w:kern w:val="1"/>
          <w:lang w:eastAsia="en-US" w:bidi="ar-SA"/>
        </w:rPr>
      </w:pPr>
      <w:r w:rsidRPr="00D75E15">
        <w:rPr>
          <w:rFonts w:eastAsia="Lucida Sans Unicode" w:cs="Times New Roman"/>
          <w:kern w:val="1"/>
          <w:lang w:eastAsia="en-US" w:bidi="ar-SA"/>
        </w:rPr>
        <w:t>A rendelet 202</w:t>
      </w:r>
      <w:r>
        <w:rPr>
          <w:rFonts w:eastAsia="Lucida Sans Unicode" w:cs="Times New Roman"/>
          <w:kern w:val="1"/>
          <w:lang w:eastAsia="en-US" w:bidi="ar-SA"/>
        </w:rPr>
        <w:t>3</w:t>
      </w:r>
      <w:r w:rsidR="00541AA0">
        <w:rPr>
          <w:rFonts w:eastAsia="Lucida Sans Unicode" w:cs="Times New Roman"/>
          <w:kern w:val="1"/>
          <w:lang w:eastAsia="en-US" w:bidi="ar-SA"/>
        </w:rPr>
        <w:t>.</w:t>
      </w:r>
      <w:r w:rsidRPr="00D75E15">
        <w:rPr>
          <w:rFonts w:eastAsia="Lucida Sans Unicode" w:cs="Times New Roman"/>
          <w:kern w:val="1"/>
          <w:lang w:eastAsia="en-US" w:bidi="ar-SA"/>
        </w:rPr>
        <w:t xml:space="preserve"> </w:t>
      </w:r>
      <w:r>
        <w:rPr>
          <w:rFonts w:eastAsia="Lucida Sans Unicode" w:cs="Times New Roman"/>
          <w:kern w:val="1"/>
          <w:lang w:eastAsia="en-US" w:bidi="ar-SA"/>
        </w:rPr>
        <w:t>február 1</w:t>
      </w:r>
      <w:r w:rsidR="00541AA0">
        <w:rPr>
          <w:rFonts w:eastAsia="Lucida Sans Unicode" w:cs="Times New Roman"/>
          <w:kern w:val="1"/>
          <w:lang w:eastAsia="en-US" w:bidi="ar-SA"/>
        </w:rPr>
        <w:t>6</w:t>
      </w:r>
      <w:r w:rsidRPr="00D75E15">
        <w:rPr>
          <w:rFonts w:eastAsia="Lucida Sans Unicode" w:cs="Times New Roman"/>
          <w:kern w:val="1"/>
          <w:lang w:eastAsia="en-US" w:bidi="ar-SA"/>
        </w:rPr>
        <w:t>. napján kihirdetésre került.</w:t>
      </w:r>
    </w:p>
    <w:p w:rsidR="00F10B13" w:rsidRPr="00D75E15" w:rsidRDefault="00F10B13" w:rsidP="00F10B13">
      <w:pPr>
        <w:spacing w:line="276" w:lineRule="auto"/>
        <w:rPr>
          <w:rFonts w:eastAsia="Lucida Sans Unicode" w:cs="Times New Roman"/>
          <w:kern w:val="1"/>
          <w:lang w:eastAsia="en-US" w:bidi="ar-SA"/>
        </w:rPr>
      </w:pPr>
    </w:p>
    <w:p w:rsidR="00F10B13" w:rsidRPr="00D75E15" w:rsidRDefault="00F10B13" w:rsidP="00F10B13">
      <w:pPr>
        <w:spacing w:line="276" w:lineRule="auto"/>
        <w:rPr>
          <w:rFonts w:eastAsia="Lucida Sans Unicode" w:cs="Times New Roman"/>
          <w:kern w:val="1"/>
          <w:lang w:eastAsia="en-US"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10B13" w:rsidRPr="00D75E15" w:rsidTr="009F23A1">
        <w:tc>
          <w:tcPr>
            <w:tcW w:w="4606" w:type="dxa"/>
          </w:tcPr>
          <w:p w:rsidR="00F10B13" w:rsidRPr="00D75E15" w:rsidRDefault="00F10B13" w:rsidP="009F23A1">
            <w:pPr>
              <w:spacing w:line="276" w:lineRule="auto"/>
              <w:jc w:val="center"/>
              <w:rPr>
                <w:rFonts w:eastAsia="Lucida Sans Unicode" w:cs="Times New Roman"/>
                <w:b/>
                <w:kern w:val="1"/>
                <w:lang w:eastAsia="en-US" w:bidi="ar-SA"/>
              </w:rPr>
            </w:pPr>
          </w:p>
        </w:tc>
        <w:tc>
          <w:tcPr>
            <w:tcW w:w="4606" w:type="dxa"/>
          </w:tcPr>
          <w:p w:rsidR="00F10B13" w:rsidRPr="00D75E15" w:rsidRDefault="00F10B13" w:rsidP="009F23A1">
            <w:pPr>
              <w:spacing w:line="276" w:lineRule="auto"/>
              <w:jc w:val="center"/>
              <w:rPr>
                <w:rFonts w:eastAsia="Lucida Sans Unicode" w:cs="Times New Roman"/>
                <w:b/>
                <w:kern w:val="1"/>
                <w:lang w:eastAsia="en-US" w:bidi="ar-SA"/>
              </w:rPr>
            </w:pPr>
            <w:r w:rsidRPr="00D75E15">
              <w:rPr>
                <w:rFonts w:eastAsia="Lucida Sans Unicode" w:cs="Times New Roman"/>
                <w:b/>
                <w:kern w:val="1"/>
                <w:lang w:eastAsia="en-US" w:bidi="ar-SA"/>
              </w:rPr>
              <w:t>Dr. Simon Beáta</w:t>
            </w:r>
          </w:p>
          <w:p w:rsidR="00F10B13" w:rsidRPr="00D75E15" w:rsidRDefault="00F10B13" w:rsidP="009F23A1">
            <w:pPr>
              <w:spacing w:line="276" w:lineRule="auto"/>
              <w:jc w:val="center"/>
              <w:rPr>
                <w:rFonts w:eastAsia="Lucida Sans Unicode" w:cs="Times New Roman"/>
                <w:kern w:val="1"/>
                <w:lang w:eastAsia="en-US" w:bidi="ar-SA"/>
              </w:rPr>
            </w:pPr>
            <w:r w:rsidRPr="00D75E15">
              <w:rPr>
                <w:rFonts w:eastAsia="Lucida Sans Unicode" w:cs="Times New Roman"/>
                <w:kern w:val="1"/>
                <w:lang w:eastAsia="en-US" w:bidi="ar-SA"/>
              </w:rPr>
              <w:t>jegyző</w:t>
            </w:r>
          </w:p>
        </w:tc>
      </w:tr>
    </w:tbl>
    <w:p w:rsidR="00F10B13" w:rsidRDefault="00F10B13" w:rsidP="00F10B13">
      <w:pPr>
        <w:pStyle w:val="Szvegtrzs"/>
        <w:spacing w:after="0" w:line="240" w:lineRule="auto"/>
        <w:jc w:val="both"/>
      </w:pPr>
    </w:p>
    <w:p w:rsidR="00F10B13" w:rsidRDefault="00F10B13" w:rsidP="00F10B13">
      <w:pPr>
        <w:pStyle w:val="Szvegtrzs"/>
        <w:spacing w:after="0" w:line="240" w:lineRule="auto"/>
        <w:jc w:val="both"/>
      </w:pPr>
    </w:p>
    <w:p w:rsidR="00F10B13" w:rsidRDefault="00F10B13" w:rsidP="003E05F6">
      <w:pPr>
        <w:pStyle w:val="Szvegtrzs"/>
        <w:spacing w:after="0" w:line="240" w:lineRule="auto"/>
        <w:jc w:val="both"/>
        <w:rPr>
          <w:rFonts w:cs="Times New Roman"/>
        </w:rPr>
      </w:pPr>
    </w:p>
    <w:p w:rsidR="00F10B13" w:rsidRDefault="00F10B13" w:rsidP="003E05F6">
      <w:pPr>
        <w:pStyle w:val="Szvegtrzs"/>
        <w:spacing w:after="0" w:line="240" w:lineRule="auto"/>
        <w:jc w:val="both"/>
        <w:rPr>
          <w:rFonts w:cs="Times New Roman"/>
        </w:rPr>
      </w:pPr>
    </w:p>
    <w:p w:rsidR="00F10B13" w:rsidRDefault="00F10B13" w:rsidP="003E05F6">
      <w:pPr>
        <w:pStyle w:val="Szvegtrzs"/>
        <w:spacing w:after="0" w:line="240" w:lineRule="auto"/>
        <w:jc w:val="both"/>
        <w:rPr>
          <w:rFonts w:cs="Times New Roman"/>
        </w:rPr>
      </w:pPr>
    </w:p>
    <w:p w:rsidR="00F10B13" w:rsidRDefault="00F10B13" w:rsidP="003E05F6">
      <w:pPr>
        <w:pStyle w:val="Szvegtrzs"/>
        <w:spacing w:after="0" w:line="240" w:lineRule="auto"/>
        <w:jc w:val="both"/>
        <w:rPr>
          <w:rFonts w:cs="Times New Roman"/>
        </w:rPr>
      </w:pPr>
    </w:p>
    <w:p w:rsidR="00F10B13" w:rsidRDefault="00F10B13" w:rsidP="003E05F6">
      <w:pPr>
        <w:pStyle w:val="Szvegtrzs"/>
        <w:spacing w:after="0" w:line="240" w:lineRule="auto"/>
        <w:jc w:val="both"/>
        <w:rPr>
          <w:rFonts w:cs="Times New Roman"/>
        </w:rPr>
      </w:pPr>
    </w:p>
    <w:p w:rsidR="00F10B13" w:rsidRDefault="00F10B13" w:rsidP="003E05F6">
      <w:pPr>
        <w:pStyle w:val="Szvegtrzs"/>
        <w:spacing w:after="0" w:line="240" w:lineRule="auto"/>
        <w:jc w:val="both"/>
        <w:rPr>
          <w:rFonts w:cs="Times New Roman"/>
        </w:rPr>
      </w:pPr>
    </w:p>
    <w:p w:rsidR="00F10B13" w:rsidRDefault="00F10B13" w:rsidP="003E05F6">
      <w:pPr>
        <w:pStyle w:val="Szvegtrzs"/>
        <w:spacing w:after="0" w:line="240" w:lineRule="auto"/>
        <w:jc w:val="both"/>
        <w:rPr>
          <w:rFonts w:cs="Times New Roman"/>
        </w:rPr>
      </w:pPr>
    </w:p>
    <w:p w:rsidR="00F10B13" w:rsidRDefault="00F10B13" w:rsidP="003E05F6">
      <w:pPr>
        <w:pStyle w:val="Szvegtrzs"/>
        <w:spacing w:after="0" w:line="240" w:lineRule="auto"/>
        <w:jc w:val="both"/>
        <w:rPr>
          <w:rFonts w:cs="Times New Roman"/>
        </w:rPr>
      </w:pPr>
    </w:p>
    <w:p w:rsidR="00F10B13" w:rsidRDefault="00F10B13" w:rsidP="003E05F6">
      <w:pPr>
        <w:pStyle w:val="Szvegtrzs"/>
        <w:spacing w:after="0" w:line="240" w:lineRule="auto"/>
        <w:jc w:val="both"/>
        <w:rPr>
          <w:rFonts w:cs="Times New Roman"/>
        </w:rPr>
      </w:pPr>
    </w:p>
    <w:p w:rsidR="00F10B13" w:rsidRDefault="00F10B13" w:rsidP="003E05F6">
      <w:pPr>
        <w:pStyle w:val="Szvegtrzs"/>
        <w:spacing w:after="0" w:line="240" w:lineRule="auto"/>
        <w:jc w:val="both"/>
        <w:rPr>
          <w:rFonts w:cs="Times New Roman"/>
        </w:rPr>
      </w:pPr>
    </w:p>
    <w:p w:rsidR="00F10B13" w:rsidRDefault="00F10B13" w:rsidP="003E05F6">
      <w:pPr>
        <w:pStyle w:val="Szvegtrzs"/>
        <w:spacing w:after="0" w:line="240" w:lineRule="auto"/>
        <w:jc w:val="both"/>
        <w:rPr>
          <w:rFonts w:cs="Times New Roman"/>
        </w:rPr>
      </w:pPr>
    </w:p>
    <w:p w:rsidR="00F10B13" w:rsidRDefault="00F10B13" w:rsidP="003E05F6">
      <w:pPr>
        <w:pStyle w:val="Szvegtrzs"/>
        <w:spacing w:after="0" w:line="240" w:lineRule="auto"/>
        <w:jc w:val="both"/>
        <w:rPr>
          <w:rFonts w:cs="Times New Roman"/>
        </w:rPr>
      </w:pPr>
    </w:p>
    <w:p w:rsidR="00F10B13" w:rsidRDefault="00F10B13" w:rsidP="003E05F6">
      <w:pPr>
        <w:pStyle w:val="Szvegtrzs"/>
        <w:spacing w:after="0" w:line="240" w:lineRule="auto"/>
        <w:jc w:val="both"/>
        <w:rPr>
          <w:rFonts w:cs="Times New Roman"/>
        </w:rPr>
      </w:pPr>
    </w:p>
    <w:p w:rsidR="00F10B13" w:rsidRDefault="00F10B13" w:rsidP="003E05F6">
      <w:pPr>
        <w:pStyle w:val="Szvegtrzs"/>
        <w:spacing w:after="0" w:line="240" w:lineRule="auto"/>
        <w:jc w:val="both"/>
        <w:rPr>
          <w:rFonts w:cs="Times New Roman"/>
        </w:rPr>
      </w:pPr>
    </w:p>
    <w:p w:rsidR="00F10B13" w:rsidRDefault="00F10B13" w:rsidP="003E05F6">
      <w:pPr>
        <w:pStyle w:val="Szvegtrzs"/>
        <w:spacing w:after="0" w:line="240" w:lineRule="auto"/>
        <w:jc w:val="both"/>
        <w:rPr>
          <w:rFonts w:cs="Times New Roman"/>
        </w:rPr>
      </w:pPr>
    </w:p>
    <w:p w:rsidR="00F10B13" w:rsidRDefault="00F10B13" w:rsidP="003E05F6">
      <w:pPr>
        <w:pStyle w:val="Szvegtrzs"/>
        <w:spacing w:after="0" w:line="240" w:lineRule="auto"/>
        <w:jc w:val="both"/>
        <w:rPr>
          <w:rFonts w:cs="Times New Roman"/>
        </w:rPr>
      </w:pPr>
    </w:p>
    <w:p w:rsidR="00F10B13" w:rsidRDefault="00F10B13" w:rsidP="003E05F6">
      <w:pPr>
        <w:pStyle w:val="Szvegtrzs"/>
        <w:spacing w:after="0" w:line="240" w:lineRule="auto"/>
        <w:jc w:val="both"/>
        <w:rPr>
          <w:rFonts w:cs="Times New Roman"/>
        </w:rPr>
      </w:pPr>
    </w:p>
    <w:p w:rsidR="00F10B13" w:rsidRDefault="00F10B13" w:rsidP="003E05F6">
      <w:pPr>
        <w:pStyle w:val="Szvegtrzs"/>
        <w:spacing w:after="0" w:line="240" w:lineRule="auto"/>
        <w:jc w:val="both"/>
        <w:rPr>
          <w:rFonts w:cs="Times New Roman"/>
        </w:rPr>
      </w:pPr>
    </w:p>
    <w:p w:rsidR="00F10B13" w:rsidRDefault="00F10B13" w:rsidP="003E05F6">
      <w:pPr>
        <w:pStyle w:val="Szvegtrzs"/>
        <w:spacing w:after="0" w:line="240" w:lineRule="auto"/>
        <w:jc w:val="both"/>
        <w:rPr>
          <w:rFonts w:cs="Times New Roman"/>
        </w:rPr>
      </w:pPr>
    </w:p>
    <w:p w:rsidR="00F10B13" w:rsidRPr="003E05F6" w:rsidRDefault="00F10B13" w:rsidP="003E05F6">
      <w:pPr>
        <w:pStyle w:val="Szvegtrzs"/>
        <w:spacing w:after="0" w:line="240" w:lineRule="auto"/>
        <w:jc w:val="both"/>
        <w:rPr>
          <w:rFonts w:cs="Times New Roman"/>
        </w:rPr>
      </w:pPr>
    </w:p>
    <w:p w:rsidR="0003331F" w:rsidRPr="003E05F6" w:rsidRDefault="000E6430" w:rsidP="003E05F6">
      <w:pPr>
        <w:pStyle w:val="Szvegtrzs"/>
        <w:spacing w:line="240" w:lineRule="auto"/>
        <w:jc w:val="right"/>
        <w:rPr>
          <w:rFonts w:cs="Times New Roman"/>
          <w:i/>
          <w:iCs/>
          <w:u w:val="single"/>
        </w:rPr>
      </w:pPr>
      <w:r w:rsidRPr="003E05F6">
        <w:rPr>
          <w:rFonts w:cs="Times New Roman"/>
          <w:i/>
          <w:iCs/>
          <w:u w:val="single"/>
        </w:rPr>
        <w:t>1. melléklet az 1/2023. (II. 16.) önkormányzati rendelethez</w:t>
      </w:r>
    </w:p>
    <w:p w:rsidR="003E05F6" w:rsidRPr="003E05F6" w:rsidRDefault="003E05F6" w:rsidP="003E05F6">
      <w:pPr>
        <w:pStyle w:val="Szvegtrzs"/>
        <w:spacing w:line="240" w:lineRule="auto"/>
        <w:jc w:val="right"/>
        <w:rPr>
          <w:rFonts w:cs="Times New Roman"/>
        </w:rPr>
      </w:pPr>
      <w:r w:rsidRPr="003E05F6">
        <w:rPr>
          <w:rFonts w:cs="Times New Roman"/>
          <w:i/>
          <w:iCs/>
          <w:u w:val="single"/>
        </w:rPr>
        <w:t>1. melléklet</w:t>
      </w:r>
    </w:p>
    <w:p w:rsidR="003E05F6" w:rsidRPr="003E05F6" w:rsidRDefault="003E05F6" w:rsidP="003E05F6">
      <w:pPr>
        <w:jc w:val="right"/>
        <w:outlineLvl w:val="0"/>
        <w:rPr>
          <w:rFonts w:cs="Times New Roman"/>
          <w:b/>
          <w:bCs/>
          <w:i/>
        </w:rPr>
      </w:pPr>
      <w:r w:rsidRPr="003E05F6">
        <w:rPr>
          <w:rFonts w:cs="Times New Roman"/>
          <w:b/>
          <w:bCs/>
          <w:i/>
        </w:rPr>
        <w:t>a temetőkről és temetkezésről szóló 26/2014. (XI. 28.) számú önkormányzati rendelethez</w:t>
      </w:r>
    </w:p>
    <w:p w:rsidR="003E05F6" w:rsidRPr="003E05F6" w:rsidRDefault="003E05F6" w:rsidP="003E05F6">
      <w:pPr>
        <w:jc w:val="center"/>
        <w:rPr>
          <w:rFonts w:cs="Times New Roman"/>
          <w:b/>
        </w:rPr>
      </w:pPr>
    </w:p>
    <w:p w:rsidR="003E05F6" w:rsidRPr="003E05F6" w:rsidRDefault="003E05F6" w:rsidP="003E05F6">
      <w:pPr>
        <w:jc w:val="center"/>
        <w:rPr>
          <w:rFonts w:cs="Times New Roman"/>
          <w:b/>
        </w:rPr>
      </w:pPr>
    </w:p>
    <w:p w:rsidR="003E05F6" w:rsidRPr="003E05F6" w:rsidRDefault="003E05F6" w:rsidP="003E05F6">
      <w:pPr>
        <w:jc w:val="center"/>
        <w:rPr>
          <w:rFonts w:cs="Times New Roman"/>
          <w:b/>
        </w:rPr>
      </w:pPr>
      <w:r w:rsidRPr="003E05F6">
        <w:rPr>
          <w:rFonts w:cs="Times New Roman"/>
          <w:b/>
        </w:rPr>
        <w:t>Temető-fenntartási hozzájárulás és a temető létesítmények igénybevételi díja</w:t>
      </w:r>
    </w:p>
    <w:p w:rsidR="003E05F6" w:rsidRPr="003E05F6" w:rsidRDefault="003E05F6" w:rsidP="003E05F6">
      <w:pPr>
        <w:jc w:val="center"/>
        <w:rPr>
          <w:rFonts w:cs="Times New Roman"/>
          <w:b/>
        </w:rPr>
      </w:pPr>
    </w:p>
    <w:p w:rsidR="003E05F6" w:rsidRPr="003E05F6" w:rsidRDefault="003E05F6" w:rsidP="003E05F6">
      <w:pPr>
        <w:jc w:val="center"/>
        <w:rPr>
          <w:rFonts w:cs="Times New Roman"/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6"/>
        <w:gridCol w:w="2482"/>
        <w:gridCol w:w="2480"/>
      </w:tblGrid>
      <w:tr w:rsidR="003E05F6" w:rsidRPr="003E05F6" w:rsidTr="00594425">
        <w:trPr>
          <w:trHeight w:val="378"/>
          <w:jc w:val="center"/>
        </w:trPr>
        <w:tc>
          <w:tcPr>
            <w:tcW w:w="2423" w:type="pct"/>
          </w:tcPr>
          <w:p w:rsidR="003E05F6" w:rsidRPr="003E05F6" w:rsidRDefault="003E05F6" w:rsidP="003E05F6">
            <w:pPr>
              <w:ind w:left="360"/>
              <w:jc w:val="center"/>
              <w:rPr>
                <w:rFonts w:cs="Times New Roman"/>
                <w:b/>
                <w:bCs/>
              </w:rPr>
            </w:pPr>
          </w:p>
          <w:p w:rsidR="003E05F6" w:rsidRPr="003E05F6" w:rsidRDefault="003E05F6" w:rsidP="003E05F6">
            <w:pPr>
              <w:ind w:left="360"/>
              <w:jc w:val="center"/>
              <w:rPr>
                <w:rFonts w:cs="Times New Roman"/>
                <w:b/>
                <w:bCs/>
              </w:rPr>
            </w:pPr>
            <w:r w:rsidRPr="003E05F6">
              <w:rPr>
                <w:rFonts w:cs="Times New Roman"/>
                <w:b/>
                <w:bCs/>
              </w:rPr>
              <w:t>Megnevezés</w:t>
            </w:r>
          </w:p>
        </w:tc>
        <w:tc>
          <w:tcPr>
            <w:tcW w:w="1289" w:type="pct"/>
            <w:vAlign w:val="center"/>
          </w:tcPr>
          <w:p w:rsidR="003E05F6" w:rsidRPr="003E05F6" w:rsidRDefault="003E05F6" w:rsidP="003E05F6">
            <w:pPr>
              <w:jc w:val="center"/>
              <w:rPr>
                <w:rFonts w:cs="Times New Roman"/>
                <w:b/>
                <w:bCs/>
              </w:rPr>
            </w:pPr>
          </w:p>
          <w:p w:rsidR="003E05F6" w:rsidRPr="003E05F6" w:rsidRDefault="003E05F6" w:rsidP="003E05F6">
            <w:pPr>
              <w:jc w:val="center"/>
              <w:rPr>
                <w:rFonts w:cs="Times New Roman"/>
                <w:b/>
                <w:bCs/>
              </w:rPr>
            </w:pPr>
            <w:r w:rsidRPr="003E05F6">
              <w:rPr>
                <w:rFonts w:cs="Times New Roman"/>
                <w:b/>
                <w:bCs/>
              </w:rPr>
              <w:t>Nettó díj (Ft)</w:t>
            </w:r>
          </w:p>
          <w:p w:rsidR="003E05F6" w:rsidRPr="003E05F6" w:rsidRDefault="003E05F6" w:rsidP="003E05F6">
            <w:p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288" w:type="pct"/>
            <w:vAlign w:val="center"/>
          </w:tcPr>
          <w:p w:rsidR="003E05F6" w:rsidRPr="003E05F6" w:rsidRDefault="003E05F6" w:rsidP="003E05F6">
            <w:pPr>
              <w:jc w:val="center"/>
              <w:rPr>
                <w:rFonts w:cs="Times New Roman"/>
                <w:b/>
                <w:bCs/>
              </w:rPr>
            </w:pPr>
            <w:r w:rsidRPr="003E05F6">
              <w:rPr>
                <w:rFonts w:cs="Times New Roman"/>
                <w:b/>
                <w:bCs/>
              </w:rPr>
              <w:t>Bruttó díj (Ft)</w:t>
            </w:r>
          </w:p>
        </w:tc>
      </w:tr>
      <w:tr w:rsidR="003E05F6" w:rsidRPr="003E05F6" w:rsidTr="00594425">
        <w:trPr>
          <w:trHeight w:val="1689"/>
          <w:jc w:val="center"/>
        </w:trPr>
        <w:tc>
          <w:tcPr>
            <w:tcW w:w="2423" w:type="pct"/>
          </w:tcPr>
          <w:p w:rsidR="003E05F6" w:rsidRPr="003E05F6" w:rsidRDefault="003E05F6" w:rsidP="003E05F6">
            <w:pPr>
              <w:widowControl w:val="0"/>
              <w:numPr>
                <w:ilvl w:val="0"/>
                <w:numId w:val="2"/>
              </w:numPr>
              <w:suppressAutoHyphens w:val="0"/>
              <w:ind w:left="390" w:hanging="390"/>
              <w:jc w:val="both"/>
              <w:rPr>
                <w:rFonts w:cs="Times New Roman"/>
                <w:b/>
                <w:bCs/>
              </w:rPr>
            </w:pPr>
            <w:r w:rsidRPr="003E05F6">
              <w:rPr>
                <w:rFonts w:cs="Times New Roman"/>
                <w:b/>
                <w:bCs/>
              </w:rPr>
              <w:t xml:space="preserve">Temetkezési szolgáltató által fizetendő létesítmény igénybevételi díj </w:t>
            </w:r>
            <w:proofErr w:type="spellStart"/>
            <w:r w:rsidRPr="003E05F6">
              <w:rPr>
                <w:rFonts w:cs="Times New Roman"/>
                <w:b/>
                <w:bCs/>
              </w:rPr>
              <w:t>temetésenként</w:t>
            </w:r>
            <w:proofErr w:type="spellEnd"/>
          </w:p>
          <w:p w:rsidR="003E05F6" w:rsidRPr="003E05F6" w:rsidRDefault="003E05F6" w:rsidP="003E05F6">
            <w:pPr>
              <w:ind w:left="360"/>
              <w:jc w:val="both"/>
              <w:rPr>
                <w:rFonts w:cs="Times New Roman"/>
                <w:b/>
                <w:bCs/>
                <w:i/>
                <w:iCs/>
              </w:rPr>
            </w:pPr>
            <w:r w:rsidRPr="003E05F6">
              <w:rPr>
                <w:rFonts w:cs="Times New Roman"/>
              </w:rPr>
              <w:t>/a díj magába foglalja a temetőben levő közművek (víz, villany), út és ravatalozó, a ravatalozóhoz tartozó eszközök, valamint a hulladékszállítás és ártalmatlanítás költségét is/</w:t>
            </w:r>
          </w:p>
        </w:tc>
        <w:tc>
          <w:tcPr>
            <w:tcW w:w="1289" w:type="pct"/>
            <w:vAlign w:val="center"/>
          </w:tcPr>
          <w:p w:rsidR="003E05F6" w:rsidRPr="003E05F6" w:rsidRDefault="003E05F6" w:rsidP="003E05F6">
            <w:pPr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3E05F6">
              <w:rPr>
                <w:rFonts w:cs="Times New Roman"/>
              </w:rPr>
              <w:t>15.000,-Ft</w:t>
            </w:r>
          </w:p>
        </w:tc>
        <w:tc>
          <w:tcPr>
            <w:tcW w:w="1288" w:type="pct"/>
            <w:vAlign w:val="center"/>
          </w:tcPr>
          <w:p w:rsidR="003E05F6" w:rsidRPr="003E05F6" w:rsidRDefault="003E05F6" w:rsidP="003E05F6">
            <w:pPr>
              <w:jc w:val="center"/>
              <w:rPr>
                <w:rFonts w:cs="Times New Roman"/>
              </w:rPr>
            </w:pPr>
            <w:r w:rsidRPr="003E05F6">
              <w:rPr>
                <w:rFonts w:cs="Times New Roman"/>
              </w:rPr>
              <w:t>19.050,-Ft</w:t>
            </w:r>
          </w:p>
        </w:tc>
      </w:tr>
      <w:tr w:rsidR="003E05F6" w:rsidRPr="003E05F6" w:rsidTr="00594425">
        <w:trPr>
          <w:trHeight w:val="1916"/>
          <w:jc w:val="center"/>
        </w:trPr>
        <w:tc>
          <w:tcPr>
            <w:tcW w:w="2423" w:type="pct"/>
            <w:vAlign w:val="center"/>
          </w:tcPr>
          <w:p w:rsidR="003E05F6" w:rsidRPr="003E05F6" w:rsidRDefault="003E05F6" w:rsidP="003E05F6">
            <w:pPr>
              <w:numPr>
                <w:ilvl w:val="0"/>
                <w:numId w:val="2"/>
              </w:numPr>
              <w:suppressAutoHyphens w:val="0"/>
              <w:jc w:val="both"/>
              <w:rPr>
                <w:rFonts w:cs="Times New Roman"/>
                <w:b/>
                <w:bCs/>
              </w:rPr>
            </w:pPr>
            <w:r w:rsidRPr="003E05F6">
              <w:rPr>
                <w:rFonts w:cs="Times New Roman"/>
                <w:b/>
                <w:bCs/>
              </w:rPr>
              <w:t xml:space="preserve">Temető-fenntartási hozzájárulás a temetőben levő közművek és terület használatért </w:t>
            </w:r>
            <w:proofErr w:type="spellStart"/>
            <w:r w:rsidRPr="003E05F6">
              <w:rPr>
                <w:rFonts w:cs="Times New Roman"/>
                <w:b/>
                <w:bCs/>
              </w:rPr>
              <w:t>sírhelyenként</w:t>
            </w:r>
            <w:proofErr w:type="spellEnd"/>
          </w:p>
          <w:p w:rsidR="003E05F6" w:rsidRPr="003E05F6" w:rsidRDefault="003E05F6" w:rsidP="003E05F6">
            <w:pPr>
              <w:numPr>
                <w:ilvl w:val="0"/>
                <w:numId w:val="3"/>
              </w:numPr>
              <w:suppressAutoHyphens w:val="0"/>
              <w:ind w:left="851"/>
              <w:jc w:val="both"/>
              <w:rPr>
                <w:rFonts w:cs="Times New Roman"/>
                <w:b/>
                <w:bCs/>
              </w:rPr>
            </w:pPr>
            <w:r w:rsidRPr="003E05F6">
              <w:rPr>
                <w:rFonts w:cs="Times New Roman"/>
              </w:rPr>
              <w:t>síremlék állítási díj</w:t>
            </w:r>
          </w:p>
          <w:p w:rsidR="003E05F6" w:rsidRPr="003E05F6" w:rsidRDefault="003E05F6" w:rsidP="003E05F6">
            <w:pPr>
              <w:numPr>
                <w:ilvl w:val="0"/>
                <w:numId w:val="3"/>
              </w:numPr>
              <w:suppressAutoHyphens w:val="0"/>
              <w:ind w:left="850" w:hanging="357"/>
              <w:jc w:val="both"/>
              <w:rPr>
                <w:rFonts w:cs="Times New Roman"/>
                <w:b/>
                <w:bCs/>
              </w:rPr>
            </w:pPr>
            <w:r w:rsidRPr="003E05F6">
              <w:rPr>
                <w:rFonts w:cs="Times New Roman"/>
              </w:rPr>
              <w:t>síremlék javításának, elemei cseréjének díja</w:t>
            </w:r>
          </w:p>
          <w:p w:rsidR="003E05F6" w:rsidRPr="003E05F6" w:rsidRDefault="003E05F6" w:rsidP="003E05F6">
            <w:pPr>
              <w:numPr>
                <w:ilvl w:val="0"/>
                <w:numId w:val="3"/>
              </w:numPr>
              <w:suppressAutoHyphens w:val="0"/>
              <w:ind w:left="851"/>
              <w:jc w:val="both"/>
              <w:rPr>
                <w:rFonts w:cs="Times New Roman"/>
                <w:b/>
                <w:bCs/>
              </w:rPr>
            </w:pPr>
            <w:r w:rsidRPr="003E05F6">
              <w:rPr>
                <w:rFonts w:cs="Times New Roman"/>
              </w:rPr>
              <w:t>síremlék bontási díj (1 éven belüli újjáépítés nélkül)</w:t>
            </w:r>
          </w:p>
          <w:p w:rsidR="003E05F6" w:rsidRPr="003E05F6" w:rsidRDefault="003E05F6" w:rsidP="003E05F6">
            <w:pPr>
              <w:numPr>
                <w:ilvl w:val="0"/>
                <w:numId w:val="3"/>
              </w:numPr>
              <w:suppressAutoHyphens w:val="0"/>
              <w:ind w:left="851"/>
              <w:jc w:val="both"/>
              <w:rPr>
                <w:rFonts w:cs="Times New Roman"/>
                <w:b/>
                <w:bCs/>
              </w:rPr>
            </w:pPr>
            <w:r w:rsidRPr="003E05F6">
              <w:rPr>
                <w:rFonts w:cs="Times New Roman"/>
              </w:rPr>
              <w:t>síremléktisztítás, betűvésés</w:t>
            </w:r>
          </w:p>
        </w:tc>
        <w:tc>
          <w:tcPr>
            <w:tcW w:w="1289" w:type="pct"/>
            <w:vAlign w:val="center"/>
          </w:tcPr>
          <w:p w:rsidR="003E05F6" w:rsidRPr="003E05F6" w:rsidRDefault="003E05F6" w:rsidP="003E05F6">
            <w:pPr>
              <w:ind w:left="357" w:firstLine="522"/>
              <w:jc w:val="center"/>
              <w:rPr>
                <w:rFonts w:cs="Times New Roman"/>
              </w:rPr>
            </w:pPr>
          </w:p>
          <w:p w:rsidR="003E05F6" w:rsidRPr="003E05F6" w:rsidRDefault="003E05F6" w:rsidP="003E05F6">
            <w:pPr>
              <w:ind w:left="357" w:firstLine="522"/>
              <w:jc w:val="center"/>
              <w:rPr>
                <w:rFonts w:cs="Times New Roman"/>
              </w:rPr>
            </w:pPr>
          </w:p>
          <w:p w:rsidR="003E05F6" w:rsidRPr="003E05F6" w:rsidRDefault="003E05F6" w:rsidP="003E05F6">
            <w:pPr>
              <w:ind w:left="357" w:firstLine="522"/>
              <w:jc w:val="center"/>
              <w:rPr>
                <w:rFonts w:cs="Times New Roman"/>
              </w:rPr>
            </w:pPr>
          </w:p>
          <w:p w:rsidR="003E05F6" w:rsidRPr="003E05F6" w:rsidRDefault="003E05F6" w:rsidP="003E05F6">
            <w:pPr>
              <w:jc w:val="center"/>
              <w:rPr>
                <w:rFonts w:cs="Times New Roman"/>
              </w:rPr>
            </w:pPr>
            <w:r w:rsidRPr="003E05F6">
              <w:rPr>
                <w:rFonts w:cs="Times New Roman"/>
              </w:rPr>
              <w:t>10.000,-Ft</w:t>
            </w:r>
          </w:p>
          <w:p w:rsidR="003E05F6" w:rsidRPr="003E05F6" w:rsidRDefault="003E05F6" w:rsidP="003E05F6">
            <w:pPr>
              <w:jc w:val="center"/>
              <w:rPr>
                <w:rFonts w:cs="Times New Roman"/>
              </w:rPr>
            </w:pPr>
            <w:r w:rsidRPr="003E05F6">
              <w:rPr>
                <w:rFonts w:cs="Times New Roman"/>
              </w:rPr>
              <w:t>5.000,-Ft</w:t>
            </w:r>
          </w:p>
          <w:p w:rsidR="003E05F6" w:rsidRPr="003E05F6" w:rsidRDefault="003E05F6" w:rsidP="003E05F6">
            <w:pPr>
              <w:ind w:left="357" w:firstLine="522"/>
              <w:jc w:val="center"/>
              <w:rPr>
                <w:rFonts w:cs="Times New Roman"/>
              </w:rPr>
            </w:pPr>
          </w:p>
          <w:p w:rsidR="003E05F6" w:rsidRPr="003E05F6" w:rsidRDefault="003E05F6" w:rsidP="003E05F6">
            <w:pPr>
              <w:ind w:left="357" w:firstLine="522"/>
              <w:jc w:val="center"/>
              <w:rPr>
                <w:rFonts w:cs="Times New Roman"/>
              </w:rPr>
            </w:pPr>
          </w:p>
          <w:p w:rsidR="003E05F6" w:rsidRPr="003E05F6" w:rsidRDefault="003E05F6" w:rsidP="003E05F6">
            <w:pPr>
              <w:jc w:val="center"/>
              <w:rPr>
                <w:rFonts w:cs="Times New Roman"/>
              </w:rPr>
            </w:pPr>
            <w:r w:rsidRPr="003E05F6">
              <w:rPr>
                <w:rFonts w:cs="Times New Roman"/>
              </w:rPr>
              <w:t>3.000,-Ft</w:t>
            </w:r>
          </w:p>
          <w:p w:rsidR="003E05F6" w:rsidRPr="003E05F6" w:rsidRDefault="003E05F6" w:rsidP="003E05F6">
            <w:pPr>
              <w:jc w:val="center"/>
              <w:rPr>
                <w:rFonts w:cs="Times New Roman"/>
              </w:rPr>
            </w:pPr>
          </w:p>
          <w:p w:rsidR="003E05F6" w:rsidRPr="003E05F6" w:rsidRDefault="003E05F6" w:rsidP="003E05F6">
            <w:pPr>
              <w:jc w:val="center"/>
              <w:rPr>
                <w:rFonts w:cs="Times New Roman"/>
              </w:rPr>
            </w:pPr>
            <w:r w:rsidRPr="003E05F6">
              <w:rPr>
                <w:rFonts w:cs="Times New Roman"/>
              </w:rPr>
              <w:t>0,-Ft</w:t>
            </w:r>
          </w:p>
        </w:tc>
        <w:tc>
          <w:tcPr>
            <w:tcW w:w="1288" w:type="pct"/>
            <w:vAlign w:val="center"/>
          </w:tcPr>
          <w:p w:rsidR="003E05F6" w:rsidRPr="003E05F6" w:rsidRDefault="003E05F6" w:rsidP="003E05F6">
            <w:pPr>
              <w:ind w:left="357" w:firstLine="522"/>
              <w:jc w:val="center"/>
              <w:rPr>
                <w:rFonts w:cs="Times New Roman"/>
              </w:rPr>
            </w:pPr>
          </w:p>
          <w:p w:rsidR="003E05F6" w:rsidRPr="003E05F6" w:rsidRDefault="003E05F6" w:rsidP="003E05F6">
            <w:pPr>
              <w:ind w:left="357" w:firstLine="522"/>
              <w:jc w:val="center"/>
              <w:rPr>
                <w:rFonts w:cs="Times New Roman"/>
              </w:rPr>
            </w:pPr>
          </w:p>
          <w:p w:rsidR="003E05F6" w:rsidRPr="003E05F6" w:rsidRDefault="003E05F6" w:rsidP="003E05F6">
            <w:pPr>
              <w:ind w:left="357" w:firstLine="522"/>
              <w:jc w:val="center"/>
              <w:rPr>
                <w:rFonts w:cs="Times New Roman"/>
              </w:rPr>
            </w:pPr>
          </w:p>
          <w:p w:rsidR="003E05F6" w:rsidRPr="003E05F6" w:rsidRDefault="003E05F6" w:rsidP="003E05F6">
            <w:pPr>
              <w:jc w:val="center"/>
              <w:rPr>
                <w:rFonts w:cs="Times New Roman"/>
              </w:rPr>
            </w:pPr>
            <w:r w:rsidRPr="003E05F6">
              <w:rPr>
                <w:rFonts w:cs="Times New Roman"/>
              </w:rPr>
              <w:t>12.700,-Ft</w:t>
            </w:r>
          </w:p>
          <w:p w:rsidR="003E05F6" w:rsidRPr="003E05F6" w:rsidRDefault="003E05F6" w:rsidP="003E05F6">
            <w:pPr>
              <w:jc w:val="center"/>
              <w:rPr>
                <w:rFonts w:cs="Times New Roman"/>
              </w:rPr>
            </w:pPr>
            <w:r w:rsidRPr="003E05F6">
              <w:rPr>
                <w:rFonts w:cs="Times New Roman"/>
              </w:rPr>
              <w:t>6.350,-Ft</w:t>
            </w:r>
          </w:p>
          <w:p w:rsidR="003E05F6" w:rsidRPr="003E05F6" w:rsidRDefault="003E05F6" w:rsidP="003E05F6">
            <w:pPr>
              <w:ind w:left="357" w:firstLine="522"/>
              <w:jc w:val="center"/>
              <w:rPr>
                <w:rFonts w:cs="Times New Roman"/>
              </w:rPr>
            </w:pPr>
          </w:p>
          <w:p w:rsidR="003E05F6" w:rsidRPr="003E05F6" w:rsidRDefault="003E05F6" w:rsidP="003E05F6">
            <w:pPr>
              <w:ind w:left="357" w:firstLine="522"/>
              <w:jc w:val="center"/>
              <w:rPr>
                <w:rFonts w:cs="Times New Roman"/>
              </w:rPr>
            </w:pPr>
          </w:p>
          <w:p w:rsidR="003E05F6" w:rsidRPr="003E05F6" w:rsidRDefault="003E05F6" w:rsidP="003E05F6">
            <w:pPr>
              <w:jc w:val="center"/>
              <w:rPr>
                <w:rFonts w:cs="Times New Roman"/>
              </w:rPr>
            </w:pPr>
            <w:r w:rsidRPr="003E05F6">
              <w:rPr>
                <w:rFonts w:cs="Times New Roman"/>
              </w:rPr>
              <w:t>3.810,-Ft</w:t>
            </w:r>
          </w:p>
          <w:p w:rsidR="003E05F6" w:rsidRPr="003E05F6" w:rsidRDefault="003E05F6" w:rsidP="003E05F6">
            <w:pPr>
              <w:ind w:left="357" w:firstLine="522"/>
              <w:jc w:val="center"/>
              <w:rPr>
                <w:rFonts w:cs="Times New Roman"/>
              </w:rPr>
            </w:pPr>
          </w:p>
          <w:p w:rsidR="003E05F6" w:rsidRPr="003E05F6" w:rsidRDefault="003E05F6" w:rsidP="003E05F6">
            <w:pPr>
              <w:jc w:val="center"/>
              <w:rPr>
                <w:rFonts w:cs="Times New Roman"/>
              </w:rPr>
            </w:pPr>
            <w:r w:rsidRPr="003E05F6">
              <w:rPr>
                <w:rFonts w:cs="Times New Roman"/>
              </w:rPr>
              <w:t>0,-Ft</w:t>
            </w:r>
          </w:p>
        </w:tc>
      </w:tr>
      <w:tr w:rsidR="003E05F6" w:rsidRPr="003E05F6" w:rsidTr="00594425">
        <w:trPr>
          <w:trHeight w:val="841"/>
          <w:jc w:val="center"/>
        </w:trPr>
        <w:tc>
          <w:tcPr>
            <w:tcW w:w="2423" w:type="pct"/>
          </w:tcPr>
          <w:p w:rsidR="003E05F6" w:rsidRPr="003E05F6" w:rsidRDefault="003E05F6" w:rsidP="003E05F6">
            <w:pPr>
              <w:widowControl w:val="0"/>
              <w:numPr>
                <w:ilvl w:val="0"/>
                <w:numId w:val="2"/>
              </w:numPr>
              <w:suppressAutoHyphens w:val="0"/>
              <w:ind w:left="357" w:hanging="357"/>
              <w:jc w:val="both"/>
              <w:rPr>
                <w:rFonts w:cs="Times New Roman"/>
                <w:b/>
                <w:bCs/>
              </w:rPr>
            </w:pPr>
            <w:r w:rsidRPr="003E05F6">
              <w:rPr>
                <w:rFonts w:cs="Times New Roman"/>
                <w:b/>
                <w:bCs/>
              </w:rPr>
              <w:t>Hűtőhasználati díj naponta</w:t>
            </w:r>
          </w:p>
          <w:p w:rsidR="003E05F6" w:rsidRPr="003E05F6" w:rsidRDefault="003E05F6" w:rsidP="003E05F6">
            <w:pPr>
              <w:ind w:left="360"/>
              <w:jc w:val="both"/>
              <w:rPr>
                <w:rFonts w:cs="Times New Roman"/>
              </w:rPr>
            </w:pPr>
            <w:r w:rsidRPr="003E05F6">
              <w:rPr>
                <w:rFonts w:cs="Times New Roman"/>
              </w:rPr>
              <w:t>(a nem közigazgatási területen eltemetett halottak hűtése esetén)</w:t>
            </w:r>
          </w:p>
        </w:tc>
        <w:tc>
          <w:tcPr>
            <w:tcW w:w="1289" w:type="pct"/>
            <w:vAlign w:val="center"/>
          </w:tcPr>
          <w:p w:rsidR="003E05F6" w:rsidRPr="003E05F6" w:rsidRDefault="003E05F6" w:rsidP="003E05F6">
            <w:pPr>
              <w:jc w:val="center"/>
              <w:rPr>
                <w:rFonts w:cs="Times New Roman"/>
              </w:rPr>
            </w:pPr>
            <w:r w:rsidRPr="003E05F6">
              <w:rPr>
                <w:rFonts w:cs="Times New Roman"/>
              </w:rPr>
              <w:t>2.500,-Ft</w:t>
            </w:r>
          </w:p>
        </w:tc>
        <w:tc>
          <w:tcPr>
            <w:tcW w:w="1288" w:type="pct"/>
            <w:vAlign w:val="center"/>
          </w:tcPr>
          <w:p w:rsidR="003E05F6" w:rsidRPr="003E05F6" w:rsidRDefault="003E05F6" w:rsidP="003E05F6">
            <w:pPr>
              <w:ind w:left="360"/>
              <w:jc w:val="center"/>
              <w:rPr>
                <w:rFonts w:cs="Times New Roman"/>
              </w:rPr>
            </w:pPr>
            <w:r w:rsidRPr="003E05F6">
              <w:rPr>
                <w:rFonts w:cs="Times New Roman"/>
              </w:rPr>
              <w:t>3.175,-Ft</w:t>
            </w:r>
          </w:p>
        </w:tc>
      </w:tr>
      <w:tr w:rsidR="003E05F6" w:rsidRPr="003E05F6" w:rsidTr="00594425">
        <w:trPr>
          <w:trHeight w:val="1140"/>
          <w:jc w:val="center"/>
        </w:trPr>
        <w:tc>
          <w:tcPr>
            <w:tcW w:w="2423" w:type="pct"/>
          </w:tcPr>
          <w:p w:rsidR="003E05F6" w:rsidRPr="003E05F6" w:rsidRDefault="003E05F6" w:rsidP="003E05F6">
            <w:pPr>
              <w:widowControl w:val="0"/>
              <w:numPr>
                <w:ilvl w:val="0"/>
                <w:numId w:val="2"/>
              </w:numPr>
              <w:suppressAutoHyphens w:val="0"/>
              <w:ind w:left="357" w:hanging="357"/>
              <w:jc w:val="both"/>
              <w:rPr>
                <w:rFonts w:cs="Times New Roman"/>
                <w:b/>
                <w:bCs/>
              </w:rPr>
            </w:pPr>
            <w:r w:rsidRPr="003E05F6">
              <w:rPr>
                <w:rFonts w:cs="Times New Roman"/>
                <w:b/>
                <w:bCs/>
              </w:rPr>
              <w:t>Temetőbe való behajtás díja</w:t>
            </w:r>
          </w:p>
          <w:p w:rsidR="003E05F6" w:rsidRPr="003E05F6" w:rsidRDefault="003E05F6" w:rsidP="003E05F6">
            <w:pPr>
              <w:ind w:left="360"/>
              <w:jc w:val="both"/>
              <w:rPr>
                <w:rFonts w:cs="Times New Roman"/>
              </w:rPr>
            </w:pPr>
            <w:r w:rsidRPr="003E05F6">
              <w:rPr>
                <w:rFonts w:cs="Times New Roman"/>
              </w:rPr>
              <w:t>/a rendeletben a temető területére elrendelt járműkorlátozás vagy –tilalom alóli kivételként engedélyezett esetekben/</w:t>
            </w:r>
          </w:p>
        </w:tc>
        <w:tc>
          <w:tcPr>
            <w:tcW w:w="1289" w:type="pct"/>
            <w:vAlign w:val="center"/>
          </w:tcPr>
          <w:p w:rsidR="003E05F6" w:rsidRPr="003E05F6" w:rsidRDefault="003E05F6" w:rsidP="003E05F6">
            <w:pPr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3E05F6">
              <w:rPr>
                <w:rFonts w:cs="Times New Roman"/>
              </w:rPr>
              <w:t>0,-Ft</w:t>
            </w:r>
          </w:p>
        </w:tc>
        <w:tc>
          <w:tcPr>
            <w:tcW w:w="1288" w:type="pct"/>
            <w:vAlign w:val="center"/>
          </w:tcPr>
          <w:p w:rsidR="003E05F6" w:rsidRPr="003E05F6" w:rsidRDefault="003E05F6" w:rsidP="003E05F6">
            <w:pPr>
              <w:jc w:val="center"/>
              <w:rPr>
                <w:rFonts w:cs="Times New Roman"/>
              </w:rPr>
            </w:pPr>
            <w:r w:rsidRPr="003E05F6">
              <w:rPr>
                <w:rFonts w:cs="Times New Roman"/>
              </w:rPr>
              <w:t>0,-Ft</w:t>
            </w:r>
          </w:p>
        </w:tc>
      </w:tr>
    </w:tbl>
    <w:p w:rsidR="003E05F6" w:rsidRPr="003E05F6" w:rsidRDefault="003E05F6" w:rsidP="003E05F6">
      <w:pPr>
        <w:jc w:val="both"/>
        <w:rPr>
          <w:rFonts w:cs="Times New Roman"/>
        </w:rPr>
      </w:pPr>
    </w:p>
    <w:p w:rsidR="003E05F6" w:rsidRPr="003E05F6" w:rsidRDefault="003E05F6" w:rsidP="003E05F6">
      <w:pPr>
        <w:jc w:val="both"/>
        <w:rPr>
          <w:rFonts w:cs="Times New Roman"/>
        </w:rPr>
      </w:pPr>
    </w:p>
    <w:p w:rsidR="003E05F6" w:rsidRP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jc w:val="both"/>
        <w:rPr>
          <w:rFonts w:cs="Times New Roman"/>
        </w:rPr>
      </w:pPr>
      <w:r w:rsidRPr="003E05F6">
        <w:rPr>
          <w:rFonts w:cs="Times New Roman"/>
        </w:rPr>
        <w:t xml:space="preserve">Módosította: 19/2015. (X. 30.) önkormányzati rendelet 8. § (1) bekezdése. Hatályos: 2015. 10. 31. napjától </w:t>
      </w:r>
    </w:p>
    <w:p w:rsidR="003E05F6" w:rsidRPr="003E05F6" w:rsidRDefault="003E05F6" w:rsidP="003E05F6">
      <w:pPr>
        <w:jc w:val="both"/>
        <w:rPr>
          <w:rFonts w:cs="Times New Roman"/>
        </w:rPr>
      </w:pPr>
      <w:r w:rsidRPr="003E05F6">
        <w:rPr>
          <w:rFonts w:cs="Times New Roman"/>
        </w:rPr>
        <w:t>Az 1. melléklet a Zalaszentgrót Város Önkormányzat Képviselő-testületének 1/2023. (II.16.) önkormányzati rendelet 3. §-</w:t>
      </w:r>
      <w:proofErr w:type="spellStart"/>
      <w:r w:rsidRPr="003E05F6">
        <w:rPr>
          <w:rFonts w:cs="Times New Roman"/>
        </w:rPr>
        <w:t>ával</w:t>
      </w:r>
      <w:proofErr w:type="spellEnd"/>
      <w:r w:rsidRPr="003E05F6">
        <w:rPr>
          <w:rFonts w:cs="Times New Roman"/>
        </w:rPr>
        <w:t xml:space="preserve"> megállapított szöveg.</w:t>
      </w:r>
    </w:p>
    <w:p w:rsidR="003E05F6" w:rsidRDefault="003E05F6" w:rsidP="003E05F6">
      <w:pPr>
        <w:pStyle w:val="Szvegtrzs"/>
        <w:spacing w:line="240" w:lineRule="auto"/>
        <w:jc w:val="right"/>
        <w:rPr>
          <w:rFonts w:cs="Times New Roman"/>
          <w:i/>
          <w:iCs/>
          <w:u w:val="single"/>
        </w:rPr>
      </w:pPr>
    </w:p>
    <w:p w:rsidR="0003331F" w:rsidRPr="003E05F6" w:rsidRDefault="000E6430" w:rsidP="003E05F6">
      <w:pPr>
        <w:pStyle w:val="Szvegtrzs"/>
        <w:spacing w:line="240" w:lineRule="auto"/>
        <w:jc w:val="right"/>
        <w:rPr>
          <w:rFonts w:cs="Times New Roman"/>
          <w:i/>
          <w:iCs/>
          <w:u w:val="single"/>
        </w:rPr>
      </w:pPr>
      <w:r w:rsidRPr="003E05F6">
        <w:rPr>
          <w:rFonts w:cs="Times New Roman"/>
          <w:i/>
          <w:iCs/>
          <w:u w:val="single"/>
        </w:rPr>
        <w:lastRenderedPageBreak/>
        <w:t>2. melléklet az 1/2023. (II. 16.) önkormányzati rendelethez</w:t>
      </w:r>
    </w:p>
    <w:p w:rsidR="003E05F6" w:rsidRPr="003E05F6" w:rsidRDefault="003E05F6" w:rsidP="003E05F6">
      <w:pPr>
        <w:pStyle w:val="Szvegtrzs"/>
        <w:spacing w:line="240" w:lineRule="auto"/>
        <w:jc w:val="right"/>
        <w:rPr>
          <w:rFonts w:cs="Times New Roman"/>
          <w:i/>
          <w:iCs/>
          <w:u w:val="single"/>
        </w:rPr>
      </w:pPr>
      <w:r w:rsidRPr="003E05F6">
        <w:rPr>
          <w:rFonts w:cs="Times New Roman"/>
          <w:i/>
          <w:iCs/>
          <w:u w:val="single"/>
        </w:rPr>
        <w:t>2. melléklet</w:t>
      </w:r>
    </w:p>
    <w:p w:rsidR="003E05F6" w:rsidRPr="003E05F6" w:rsidRDefault="003E05F6" w:rsidP="003E05F6">
      <w:pPr>
        <w:jc w:val="right"/>
        <w:outlineLvl w:val="0"/>
        <w:rPr>
          <w:rFonts w:cs="Times New Roman"/>
          <w:b/>
          <w:bCs/>
          <w:i/>
        </w:rPr>
      </w:pPr>
      <w:r w:rsidRPr="003E05F6">
        <w:rPr>
          <w:rFonts w:cs="Times New Roman"/>
          <w:b/>
          <w:bCs/>
          <w:i/>
        </w:rPr>
        <w:t>a temetőkről és temetkezésről szóló 26/2014. (XI. 28.) számú önkormányzati rendelethez</w:t>
      </w:r>
    </w:p>
    <w:p w:rsidR="003E05F6" w:rsidRPr="003E05F6" w:rsidRDefault="003E05F6" w:rsidP="003E05F6">
      <w:pPr>
        <w:rPr>
          <w:rFonts w:cs="Times New Roman"/>
          <w:b/>
        </w:rPr>
      </w:pPr>
    </w:p>
    <w:p w:rsidR="003E05F6" w:rsidRPr="003E05F6" w:rsidRDefault="003E05F6" w:rsidP="003E05F6">
      <w:pPr>
        <w:pStyle w:val="Szvegtrzs"/>
        <w:spacing w:after="0" w:line="240" w:lineRule="auto"/>
        <w:jc w:val="center"/>
        <w:rPr>
          <w:rFonts w:cs="Times New Roman"/>
          <w:b/>
        </w:rPr>
      </w:pPr>
      <w:r w:rsidRPr="003E05F6">
        <w:rPr>
          <w:rFonts w:cs="Times New Roman"/>
          <w:b/>
        </w:rPr>
        <w:t xml:space="preserve">Temetési hely feletti rendelkezési jog megszerzéséért és használatáért </w:t>
      </w:r>
    </w:p>
    <w:p w:rsidR="003E05F6" w:rsidRPr="003E05F6" w:rsidRDefault="003E05F6" w:rsidP="003E05F6">
      <w:pPr>
        <w:pStyle w:val="Szvegtrzs"/>
        <w:spacing w:after="0" w:line="240" w:lineRule="auto"/>
        <w:jc w:val="center"/>
        <w:rPr>
          <w:rFonts w:cs="Times New Roman"/>
          <w:b/>
        </w:rPr>
      </w:pPr>
      <w:r w:rsidRPr="003E05F6">
        <w:rPr>
          <w:rFonts w:cs="Times New Roman"/>
          <w:b/>
        </w:rPr>
        <w:t xml:space="preserve">fizetendő megváltási és </w:t>
      </w:r>
      <w:proofErr w:type="spellStart"/>
      <w:r w:rsidRPr="003E05F6">
        <w:rPr>
          <w:rFonts w:cs="Times New Roman"/>
          <w:b/>
        </w:rPr>
        <w:t>újraváltási</w:t>
      </w:r>
      <w:proofErr w:type="spellEnd"/>
      <w:r w:rsidRPr="003E05F6">
        <w:rPr>
          <w:rFonts w:cs="Times New Roman"/>
          <w:b/>
        </w:rPr>
        <w:t xml:space="preserve"> díjak</w:t>
      </w:r>
    </w:p>
    <w:p w:rsidR="003E05F6" w:rsidRPr="003E05F6" w:rsidRDefault="003E05F6" w:rsidP="003E05F6">
      <w:pPr>
        <w:pStyle w:val="Szvegtrzs"/>
        <w:spacing w:after="0" w:line="240" w:lineRule="auto"/>
        <w:jc w:val="center"/>
        <w:rPr>
          <w:rFonts w:cs="Times New Roman"/>
          <w:b/>
        </w:rPr>
      </w:pPr>
    </w:p>
    <w:tbl>
      <w:tblPr>
        <w:tblStyle w:val="Rcsostblzat"/>
        <w:tblW w:w="9634" w:type="dxa"/>
        <w:tblLayout w:type="fixed"/>
        <w:tblLook w:val="04A0" w:firstRow="1" w:lastRow="0" w:firstColumn="1" w:lastColumn="0" w:noHBand="0" w:noVBand="1"/>
      </w:tblPr>
      <w:tblGrid>
        <w:gridCol w:w="596"/>
        <w:gridCol w:w="1759"/>
        <w:gridCol w:w="1529"/>
        <w:gridCol w:w="1529"/>
        <w:gridCol w:w="1543"/>
        <w:gridCol w:w="1543"/>
        <w:gridCol w:w="1135"/>
      </w:tblGrid>
      <w:tr w:rsidR="003E05F6" w:rsidRPr="0034335A" w:rsidTr="00594425">
        <w:tc>
          <w:tcPr>
            <w:tcW w:w="596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i/>
              </w:rPr>
            </w:pPr>
            <w:r w:rsidRPr="0034335A">
              <w:rPr>
                <w:rFonts w:cs="Times New Roman"/>
                <w:b/>
                <w:i/>
              </w:rPr>
              <w:t>Ssz.</w:t>
            </w:r>
          </w:p>
        </w:tc>
        <w:tc>
          <w:tcPr>
            <w:tcW w:w="1759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i/>
              </w:rPr>
            </w:pPr>
            <w:r w:rsidRPr="0034335A">
              <w:rPr>
                <w:rFonts w:cs="Times New Roman"/>
                <w:b/>
                <w:i/>
              </w:rPr>
              <w:t>Sírhelyek</w:t>
            </w:r>
          </w:p>
        </w:tc>
        <w:tc>
          <w:tcPr>
            <w:tcW w:w="1529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i/>
              </w:rPr>
            </w:pPr>
            <w:r w:rsidRPr="0034335A">
              <w:rPr>
                <w:rFonts w:cs="Times New Roman"/>
                <w:b/>
                <w:i/>
              </w:rPr>
              <w:t>Megváltási díj Nettó (Ft)</w:t>
            </w:r>
          </w:p>
        </w:tc>
        <w:tc>
          <w:tcPr>
            <w:tcW w:w="1529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i/>
              </w:rPr>
            </w:pPr>
            <w:r w:rsidRPr="0034335A">
              <w:rPr>
                <w:rFonts w:cs="Times New Roman"/>
                <w:b/>
                <w:i/>
              </w:rPr>
              <w:t>Megváltási díj Bruttó (Ft)</w:t>
            </w:r>
          </w:p>
        </w:tc>
        <w:tc>
          <w:tcPr>
            <w:tcW w:w="1543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i/>
              </w:rPr>
            </w:pPr>
            <w:proofErr w:type="spellStart"/>
            <w:r w:rsidRPr="0034335A">
              <w:rPr>
                <w:rFonts w:cs="Times New Roman"/>
                <w:b/>
                <w:i/>
              </w:rPr>
              <w:t>Újraváltási</w:t>
            </w:r>
            <w:proofErr w:type="spellEnd"/>
            <w:r w:rsidRPr="0034335A">
              <w:rPr>
                <w:rFonts w:cs="Times New Roman"/>
                <w:b/>
                <w:i/>
              </w:rPr>
              <w:t xml:space="preserve"> díj Nettó (Ft)</w:t>
            </w:r>
          </w:p>
        </w:tc>
        <w:tc>
          <w:tcPr>
            <w:tcW w:w="1543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i/>
              </w:rPr>
            </w:pPr>
            <w:proofErr w:type="spellStart"/>
            <w:r w:rsidRPr="0034335A">
              <w:rPr>
                <w:rFonts w:cs="Times New Roman"/>
                <w:b/>
                <w:i/>
              </w:rPr>
              <w:t>Újraváltási</w:t>
            </w:r>
            <w:proofErr w:type="spellEnd"/>
            <w:r w:rsidRPr="0034335A">
              <w:rPr>
                <w:rFonts w:cs="Times New Roman"/>
                <w:b/>
                <w:i/>
              </w:rPr>
              <w:t xml:space="preserve"> díj Bruttó (Ft)</w:t>
            </w:r>
          </w:p>
        </w:tc>
        <w:tc>
          <w:tcPr>
            <w:tcW w:w="1135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i/>
              </w:rPr>
            </w:pPr>
            <w:r w:rsidRPr="0034335A">
              <w:rPr>
                <w:rFonts w:cs="Times New Roman"/>
                <w:b/>
                <w:i/>
              </w:rPr>
              <w:t>Érvényességi idő (év)</w:t>
            </w:r>
          </w:p>
        </w:tc>
      </w:tr>
      <w:tr w:rsidR="003E05F6" w:rsidRPr="0034335A" w:rsidTr="00594425">
        <w:tc>
          <w:tcPr>
            <w:tcW w:w="596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1.</w:t>
            </w:r>
          </w:p>
        </w:tc>
        <w:tc>
          <w:tcPr>
            <w:tcW w:w="1759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Egyes sírhely</w:t>
            </w:r>
          </w:p>
        </w:tc>
        <w:tc>
          <w:tcPr>
            <w:tcW w:w="1529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20.000,-</w:t>
            </w:r>
          </w:p>
        </w:tc>
        <w:tc>
          <w:tcPr>
            <w:tcW w:w="1529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25.400,-</w:t>
            </w:r>
          </w:p>
        </w:tc>
        <w:tc>
          <w:tcPr>
            <w:tcW w:w="1543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15.000,-</w:t>
            </w:r>
          </w:p>
        </w:tc>
        <w:tc>
          <w:tcPr>
            <w:tcW w:w="1543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19.050,-</w:t>
            </w:r>
          </w:p>
        </w:tc>
        <w:tc>
          <w:tcPr>
            <w:tcW w:w="1135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25</w:t>
            </w:r>
          </w:p>
        </w:tc>
      </w:tr>
      <w:tr w:rsidR="003E05F6" w:rsidRPr="0034335A" w:rsidTr="00594425">
        <w:tc>
          <w:tcPr>
            <w:tcW w:w="596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2.</w:t>
            </w:r>
          </w:p>
        </w:tc>
        <w:tc>
          <w:tcPr>
            <w:tcW w:w="1759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Kettes sírhely</w:t>
            </w:r>
          </w:p>
        </w:tc>
        <w:tc>
          <w:tcPr>
            <w:tcW w:w="1529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40.000,-</w:t>
            </w:r>
          </w:p>
        </w:tc>
        <w:tc>
          <w:tcPr>
            <w:tcW w:w="1529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50.800,-</w:t>
            </w:r>
          </w:p>
        </w:tc>
        <w:tc>
          <w:tcPr>
            <w:tcW w:w="1543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30.000,-</w:t>
            </w:r>
          </w:p>
        </w:tc>
        <w:tc>
          <w:tcPr>
            <w:tcW w:w="1543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38.100,-</w:t>
            </w:r>
          </w:p>
        </w:tc>
        <w:tc>
          <w:tcPr>
            <w:tcW w:w="1135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25</w:t>
            </w:r>
          </w:p>
        </w:tc>
      </w:tr>
      <w:tr w:rsidR="003E05F6" w:rsidRPr="0034335A" w:rsidTr="00594425">
        <w:tc>
          <w:tcPr>
            <w:tcW w:w="596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3.</w:t>
            </w:r>
          </w:p>
        </w:tc>
        <w:tc>
          <w:tcPr>
            <w:tcW w:w="1759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Kettő +n-es sírhely</w:t>
            </w:r>
          </w:p>
        </w:tc>
        <w:tc>
          <w:tcPr>
            <w:tcW w:w="1529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40.000,- + n* 15.000,-</w:t>
            </w:r>
          </w:p>
        </w:tc>
        <w:tc>
          <w:tcPr>
            <w:tcW w:w="1529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50.800,- + n* 19.050,-</w:t>
            </w:r>
          </w:p>
        </w:tc>
        <w:tc>
          <w:tcPr>
            <w:tcW w:w="1543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30.000,- + n* 10.000,-</w:t>
            </w:r>
          </w:p>
        </w:tc>
        <w:tc>
          <w:tcPr>
            <w:tcW w:w="1543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38.100,- + n* 12.700,-</w:t>
            </w:r>
          </w:p>
        </w:tc>
        <w:tc>
          <w:tcPr>
            <w:tcW w:w="1135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25</w:t>
            </w:r>
          </w:p>
        </w:tc>
      </w:tr>
      <w:tr w:rsidR="003E05F6" w:rsidRPr="0034335A" w:rsidTr="00594425">
        <w:tc>
          <w:tcPr>
            <w:tcW w:w="596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4.</w:t>
            </w:r>
          </w:p>
        </w:tc>
        <w:tc>
          <w:tcPr>
            <w:tcW w:w="1759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Gyermeksírhely</w:t>
            </w:r>
          </w:p>
        </w:tc>
        <w:tc>
          <w:tcPr>
            <w:tcW w:w="1529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10.000,-</w:t>
            </w:r>
          </w:p>
        </w:tc>
        <w:tc>
          <w:tcPr>
            <w:tcW w:w="1529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12.700,-</w:t>
            </w:r>
          </w:p>
        </w:tc>
        <w:tc>
          <w:tcPr>
            <w:tcW w:w="1543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7.500,-</w:t>
            </w:r>
          </w:p>
        </w:tc>
        <w:tc>
          <w:tcPr>
            <w:tcW w:w="1543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9.525,-</w:t>
            </w:r>
          </w:p>
        </w:tc>
        <w:tc>
          <w:tcPr>
            <w:tcW w:w="1135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25</w:t>
            </w:r>
          </w:p>
        </w:tc>
      </w:tr>
      <w:tr w:rsidR="003E05F6" w:rsidRPr="0034335A" w:rsidTr="00594425">
        <w:tc>
          <w:tcPr>
            <w:tcW w:w="596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5.</w:t>
            </w:r>
          </w:p>
        </w:tc>
        <w:tc>
          <w:tcPr>
            <w:tcW w:w="1759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Egyes beton urnafülke*</w:t>
            </w:r>
          </w:p>
        </w:tc>
        <w:tc>
          <w:tcPr>
            <w:tcW w:w="1529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15.000,-</w:t>
            </w:r>
          </w:p>
        </w:tc>
        <w:tc>
          <w:tcPr>
            <w:tcW w:w="1529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19.050,-</w:t>
            </w:r>
          </w:p>
        </w:tc>
        <w:tc>
          <w:tcPr>
            <w:tcW w:w="1543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10.000,-</w:t>
            </w:r>
          </w:p>
        </w:tc>
        <w:tc>
          <w:tcPr>
            <w:tcW w:w="1543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12.700,-</w:t>
            </w:r>
          </w:p>
        </w:tc>
        <w:tc>
          <w:tcPr>
            <w:tcW w:w="1135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10</w:t>
            </w:r>
          </w:p>
        </w:tc>
      </w:tr>
      <w:tr w:rsidR="003E05F6" w:rsidRPr="0034335A" w:rsidTr="00594425">
        <w:tc>
          <w:tcPr>
            <w:tcW w:w="596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6.</w:t>
            </w:r>
          </w:p>
        </w:tc>
        <w:tc>
          <w:tcPr>
            <w:tcW w:w="1759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Kettes beton urnafülke*</w:t>
            </w:r>
          </w:p>
        </w:tc>
        <w:tc>
          <w:tcPr>
            <w:tcW w:w="1529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30.000,-</w:t>
            </w:r>
          </w:p>
        </w:tc>
        <w:tc>
          <w:tcPr>
            <w:tcW w:w="1529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38.100,-</w:t>
            </w:r>
          </w:p>
        </w:tc>
        <w:tc>
          <w:tcPr>
            <w:tcW w:w="1543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22.500,-</w:t>
            </w:r>
          </w:p>
        </w:tc>
        <w:tc>
          <w:tcPr>
            <w:tcW w:w="1543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28.575,-</w:t>
            </w:r>
          </w:p>
        </w:tc>
        <w:tc>
          <w:tcPr>
            <w:tcW w:w="1135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10</w:t>
            </w:r>
          </w:p>
        </w:tc>
      </w:tr>
      <w:tr w:rsidR="003E05F6" w:rsidRPr="0034335A" w:rsidTr="00594425">
        <w:tc>
          <w:tcPr>
            <w:tcW w:w="596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7.</w:t>
            </w:r>
          </w:p>
        </w:tc>
        <w:tc>
          <w:tcPr>
            <w:tcW w:w="1759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Urnasírhely</w:t>
            </w:r>
          </w:p>
        </w:tc>
        <w:tc>
          <w:tcPr>
            <w:tcW w:w="1529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15.000,-</w:t>
            </w:r>
          </w:p>
        </w:tc>
        <w:tc>
          <w:tcPr>
            <w:tcW w:w="1529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19.050,-</w:t>
            </w:r>
          </w:p>
        </w:tc>
        <w:tc>
          <w:tcPr>
            <w:tcW w:w="1543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10.000,-</w:t>
            </w:r>
          </w:p>
        </w:tc>
        <w:tc>
          <w:tcPr>
            <w:tcW w:w="1543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12.700,-</w:t>
            </w:r>
          </w:p>
        </w:tc>
        <w:tc>
          <w:tcPr>
            <w:tcW w:w="1135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25</w:t>
            </w:r>
          </w:p>
        </w:tc>
      </w:tr>
      <w:tr w:rsidR="003E05F6" w:rsidRPr="0034335A" w:rsidTr="00594425">
        <w:tc>
          <w:tcPr>
            <w:tcW w:w="596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8.</w:t>
            </w:r>
          </w:p>
        </w:tc>
        <w:tc>
          <w:tcPr>
            <w:tcW w:w="1759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proofErr w:type="spellStart"/>
            <w:r w:rsidRPr="0034335A">
              <w:rPr>
                <w:rFonts w:cs="Times New Roman"/>
              </w:rPr>
              <w:t>Türjei</w:t>
            </w:r>
            <w:proofErr w:type="spellEnd"/>
            <w:r w:rsidRPr="0034335A">
              <w:rPr>
                <w:rFonts w:cs="Times New Roman"/>
              </w:rPr>
              <w:t xml:space="preserve"> úti temető – újonnan kialakított gránit urnafal – 1 urna elhelyezése esetén*</w:t>
            </w:r>
          </w:p>
        </w:tc>
        <w:tc>
          <w:tcPr>
            <w:tcW w:w="1529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55.000,-</w:t>
            </w:r>
          </w:p>
        </w:tc>
        <w:tc>
          <w:tcPr>
            <w:tcW w:w="1529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69.850,-</w:t>
            </w:r>
          </w:p>
        </w:tc>
        <w:tc>
          <w:tcPr>
            <w:tcW w:w="1543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35.000,-</w:t>
            </w:r>
          </w:p>
        </w:tc>
        <w:tc>
          <w:tcPr>
            <w:tcW w:w="1543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44.450,-</w:t>
            </w:r>
          </w:p>
        </w:tc>
        <w:tc>
          <w:tcPr>
            <w:tcW w:w="1135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10</w:t>
            </w:r>
          </w:p>
        </w:tc>
      </w:tr>
      <w:tr w:rsidR="003E05F6" w:rsidRPr="0034335A" w:rsidTr="00594425">
        <w:tc>
          <w:tcPr>
            <w:tcW w:w="596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9.</w:t>
            </w:r>
          </w:p>
        </w:tc>
        <w:tc>
          <w:tcPr>
            <w:tcW w:w="1759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proofErr w:type="spellStart"/>
            <w:r w:rsidRPr="0034335A">
              <w:rPr>
                <w:rFonts w:cs="Times New Roman"/>
              </w:rPr>
              <w:t>Türjei</w:t>
            </w:r>
            <w:proofErr w:type="spellEnd"/>
            <w:r w:rsidRPr="0034335A">
              <w:rPr>
                <w:rFonts w:cs="Times New Roman"/>
              </w:rPr>
              <w:t xml:space="preserve"> úti temető – újonnan kialakított gránit urnafal – 2 urna elhelyezése esetén*</w:t>
            </w:r>
          </w:p>
        </w:tc>
        <w:tc>
          <w:tcPr>
            <w:tcW w:w="1529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75.000,-</w:t>
            </w:r>
          </w:p>
        </w:tc>
        <w:tc>
          <w:tcPr>
            <w:tcW w:w="1529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95.250,-</w:t>
            </w:r>
          </w:p>
        </w:tc>
        <w:tc>
          <w:tcPr>
            <w:tcW w:w="1543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50.000,-</w:t>
            </w:r>
          </w:p>
        </w:tc>
        <w:tc>
          <w:tcPr>
            <w:tcW w:w="1543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63.500,-</w:t>
            </w:r>
          </w:p>
        </w:tc>
        <w:tc>
          <w:tcPr>
            <w:tcW w:w="1135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10</w:t>
            </w:r>
          </w:p>
        </w:tc>
      </w:tr>
      <w:tr w:rsidR="003E05F6" w:rsidRPr="0034335A" w:rsidTr="00594425">
        <w:tc>
          <w:tcPr>
            <w:tcW w:w="596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10.</w:t>
            </w:r>
          </w:p>
        </w:tc>
        <w:tc>
          <w:tcPr>
            <w:tcW w:w="1759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Kettes sírbolthely</w:t>
            </w:r>
          </w:p>
        </w:tc>
        <w:tc>
          <w:tcPr>
            <w:tcW w:w="1529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100.000,-</w:t>
            </w:r>
          </w:p>
        </w:tc>
        <w:tc>
          <w:tcPr>
            <w:tcW w:w="1529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127.000,-</w:t>
            </w:r>
          </w:p>
        </w:tc>
        <w:tc>
          <w:tcPr>
            <w:tcW w:w="1543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75.000,-</w:t>
            </w:r>
          </w:p>
        </w:tc>
        <w:tc>
          <w:tcPr>
            <w:tcW w:w="1543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95.250,-</w:t>
            </w:r>
          </w:p>
        </w:tc>
        <w:tc>
          <w:tcPr>
            <w:tcW w:w="1135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60</w:t>
            </w:r>
          </w:p>
        </w:tc>
      </w:tr>
      <w:tr w:rsidR="003E05F6" w:rsidRPr="0034335A" w:rsidTr="00594425">
        <w:tc>
          <w:tcPr>
            <w:tcW w:w="596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11.</w:t>
            </w:r>
          </w:p>
        </w:tc>
        <w:tc>
          <w:tcPr>
            <w:tcW w:w="1759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Urna sírbolthely</w:t>
            </w:r>
          </w:p>
        </w:tc>
        <w:tc>
          <w:tcPr>
            <w:tcW w:w="1529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50.000,-</w:t>
            </w:r>
          </w:p>
        </w:tc>
        <w:tc>
          <w:tcPr>
            <w:tcW w:w="1529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63.500,-</w:t>
            </w:r>
          </w:p>
        </w:tc>
        <w:tc>
          <w:tcPr>
            <w:tcW w:w="1543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37.500,-</w:t>
            </w:r>
          </w:p>
        </w:tc>
        <w:tc>
          <w:tcPr>
            <w:tcW w:w="1543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47.625,-</w:t>
            </w:r>
          </w:p>
        </w:tc>
        <w:tc>
          <w:tcPr>
            <w:tcW w:w="1135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60</w:t>
            </w:r>
          </w:p>
        </w:tc>
      </w:tr>
    </w:tbl>
    <w:p w:rsidR="003E05F6" w:rsidRPr="0034335A" w:rsidRDefault="003E05F6" w:rsidP="003E05F6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34335A">
        <w:rPr>
          <w:rFonts w:cs="Times New Roman"/>
          <w:sz w:val="22"/>
          <w:szCs w:val="22"/>
        </w:rPr>
        <w:t>* Időközben megváltozott urnaszám esetén a mindenkor aktuális árkülönbözetet meg kell fizetni.</w:t>
      </w:r>
    </w:p>
    <w:tbl>
      <w:tblPr>
        <w:tblStyle w:val="Rcsostblzat"/>
        <w:tblW w:w="9741" w:type="dxa"/>
        <w:tblLook w:val="04A0" w:firstRow="1" w:lastRow="0" w:firstColumn="1" w:lastColumn="0" w:noHBand="0" w:noVBand="1"/>
      </w:tblPr>
      <w:tblGrid>
        <w:gridCol w:w="657"/>
        <w:gridCol w:w="1763"/>
        <w:gridCol w:w="1452"/>
        <w:gridCol w:w="1296"/>
        <w:gridCol w:w="1310"/>
        <w:gridCol w:w="1310"/>
        <w:gridCol w:w="1953"/>
      </w:tblGrid>
      <w:tr w:rsidR="003E05F6" w:rsidRPr="0034335A" w:rsidTr="00F94A32">
        <w:tc>
          <w:tcPr>
            <w:tcW w:w="657" w:type="dxa"/>
            <w:vMerge w:val="restart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i/>
              </w:rPr>
            </w:pPr>
            <w:r w:rsidRPr="0034335A">
              <w:rPr>
                <w:rFonts w:cs="Times New Roman"/>
                <w:b/>
                <w:i/>
              </w:rPr>
              <w:t>S.sz.</w:t>
            </w:r>
          </w:p>
        </w:tc>
        <w:tc>
          <w:tcPr>
            <w:tcW w:w="9084" w:type="dxa"/>
            <w:gridSpan w:val="6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i/>
              </w:rPr>
            </w:pPr>
            <w:proofErr w:type="spellStart"/>
            <w:r w:rsidRPr="0034335A">
              <w:rPr>
                <w:rFonts w:cs="Times New Roman"/>
                <w:b/>
                <w:i/>
              </w:rPr>
              <w:t>Türjei</w:t>
            </w:r>
            <w:proofErr w:type="spellEnd"/>
            <w:r w:rsidRPr="0034335A">
              <w:rPr>
                <w:rFonts w:cs="Times New Roman"/>
                <w:b/>
                <w:i/>
              </w:rPr>
              <w:t xml:space="preserve"> úti temető – Új temető rész sírhely díjak</w:t>
            </w:r>
          </w:p>
        </w:tc>
      </w:tr>
      <w:tr w:rsidR="003E05F6" w:rsidRPr="0034335A" w:rsidTr="00F94A32">
        <w:tc>
          <w:tcPr>
            <w:tcW w:w="657" w:type="dxa"/>
            <w:vMerge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i/>
              </w:rPr>
            </w:pPr>
          </w:p>
        </w:tc>
        <w:tc>
          <w:tcPr>
            <w:tcW w:w="1763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i/>
              </w:rPr>
            </w:pPr>
            <w:r w:rsidRPr="0034335A">
              <w:rPr>
                <w:rFonts w:cs="Times New Roman"/>
                <w:b/>
                <w:i/>
              </w:rPr>
              <w:t>Sírhelyek</w:t>
            </w:r>
          </w:p>
        </w:tc>
        <w:tc>
          <w:tcPr>
            <w:tcW w:w="1452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i/>
              </w:rPr>
            </w:pPr>
            <w:r w:rsidRPr="0034335A">
              <w:rPr>
                <w:rFonts w:cs="Times New Roman"/>
                <w:b/>
                <w:i/>
              </w:rPr>
              <w:t>Megváltási díj Nettó (Ft)</w:t>
            </w:r>
          </w:p>
        </w:tc>
        <w:tc>
          <w:tcPr>
            <w:tcW w:w="1296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i/>
              </w:rPr>
            </w:pPr>
            <w:r w:rsidRPr="0034335A">
              <w:rPr>
                <w:rFonts w:cs="Times New Roman"/>
                <w:b/>
                <w:i/>
              </w:rPr>
              <w:t>Megváltási díj Bruttó (Ft)</w:t>
            </w:r>
          </w:p>
        </w:tc>
        <w:tc>
          <w:tcPr>
            <w:tcW w:w="1310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i/>
              </w:rPr>
            </w:pPr>
            <w:proofErr w:type="spellStart"/>
            <w:r w:rsidRPr="0034335A">
              <w:rPr>
                <w:rFonts w:cs="Times New Roman"/>
                <w:b/>
                <w:i/>
              </w:rPr>
              <w:t>Újraváltási</w:t>
            </w:r>
            <w:proofErr w:type="spellEnd"/>
            <w:r w:rsidRPr="0034335A">
              <w:rPr>
                <w:rFonts w:cs="Times New Roman"/>
                <w:b/>
                <w:i/>
              </w:rPr>
              <w:t xml:space="preserve"> díj Nettó (Ft)</w:t>
            </w:r>
          </w:p>
        </w:tc>
        <w:tc>
          <w:tcPr>
            <w:tcW w:w="1310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i/>
              </w:rPr>
            </w:pPr>
            <w:proofErr w:type="spellStart"/>
            <w:r w:rsidRPr="0034335A">
              <w:rPr>
                <w:rFonts w:cs="Times New Roman"/>
                <w:b/>
                <w:i/>
              </w:rPr>
              <w:t>Újraváltási</w:t>
            </w:r>
            <w:proofErr w:type="spellEnd"/>
            <w:r w:rsidRPr="0034335A">
              <w:rPr>
                <w:rFonts w:cs="Times New Roman"/>
                <w:b/>
                <w:i/>
              </w:rPr>
              <w:t xml:space="preserve"> díj Bruttó (Ft)</w:t>
            </w:r>
          </w:p>
        </w:tc>
        <w:tc>
          <w:tcPr>
            <w:tcW w:w="1953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  <w:b/>
                <w:i/>
              </w:rPr>
            </w:pPr>
            <w:r w:rsidRPr="0034335A">
              <w:rPr>
                <w:rFonts w:cs="Times New Roman"/>
                <w:b/>
                <w:i/>
              </w:rPr>
              <w:t>Érvényességi idő (év)</w:t>
            </w:r>
          </w:p>
        </w:tc>
      </w:tr>
      <w:tr w:rsidR="003E05F6" w:rsidRPr="0034335A" w:rsidTr="00F94A32">
        <w:tc>
          <w:tcPr>
            <w:tcW w:w="657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1.</w:t>
            </w:r>
          </w:p>
        </w:tc>
        <w:tc>
          <w:tcPr>
            <w:tcW w:w="1763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Egyes sírhely</w:t>
            </w:r>
          </w:p>
        </w:tc>
        <w:tc>
          <w:tcPr>
            <w:tcW w:w="1452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25.000,-</w:t>
            </w:r>
          </w:p>
        </w:tc>
        <w:tc>
          <w:tcPr>
            <w:tcW w:w="1296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31.750,-</w:t>
            </w:r>
          </w:p>
        </w:tc>
        <w:tc>
          <w:tcPr>
            <w:tcW w:w="1310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18.750,-</w:t>
            </w:r>
          </w:p>
        </w:tc>
        <w:tc>
          <w:tcPr>
            <w:tcW w:w="1310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23.812,5,-</w:t>
            </w:r>
          </w:p>
        </w:tc>
        <w:tc>
          <w:tcPr>
            <w:tcW w:w="1953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25</w:t>
            </w:r>
          </w:p>
        </w:tc>
      </w:tr>
      <w:tr w:rsidR="003E05F6" w:rsidRPr="0034335A" w:rsidTr="00F94A32">
        <w:tc>
          <w:tcPr>
            <w:tcW w:w="657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2.</w:t>
            </w:r>
          </w:p>
        </w:tc>
        <w:tc>
          <w:tcPr>
            <w:tcW w:w="1763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Kettes sírhely</w:t>
            </w:r>
          </w:p>
        </w:tc>
        <w:tc>
          <w:tcPr>
            <w:tcW w:w="1452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50.000,-</w:t>
            </w:r>
          </w:p>
        </w:tc>
        <w:tc>
          <w:tcPr>
            <w:tcW w:w="1296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63.500,-</w:t>
            </w:r>
          </w:p>
        </w:tc>
        <w:tc>
          <w:tcPr>
            <w:tcW w:w="1310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37.500,-</w:t>
            </w:r>
          </w:p>
        </w:tc>
        <w:tc>
          <w:tcPr>
            <w:tcW w:w="1310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47.625,-</w:t>
            </w:r>
          </w:p>
        </w:tc>
        <w:tc>
          <w:tcPr>
            <w:tcW w:w="1953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25</w:t>
            </w:r>
          </w:p>
        </w:tc>
      </w:tr>
      <w:tr w:rsidR="003E05F6" w:rsidRPr="0034335A" w:rsidTr="00F94A32">
        <w:tc>
          <w:tcPr>
            <w:tcW w:w="657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3.</w:t>
            </w:r>
          </w:p>
        </w:tc>
        <w:tc>
          <w:tcPr>
            <w:tcW w:w="1763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Kettő +n-es sírhely</w:t>
            </w:r>
          </w:p>
        </w:tc>
        <w:tc>
          <w:tcPr>
            <w:tcW w:w="1452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50.000,- + n* 18.000,-</w:t>
            </w:r>
          </w:p>
        </w:tc>
        <w:tc>
          <w:tcPr>
            <w:tcW w:w="1296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63.500,-+ n* 22.860,-</w:t>
            </w:r>
          </w:p>
        </w:tc>
        <w:tc>
          <w:tcPr>
            <w:tcW w:w="1310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37.500,- + n* 12.000,-</w:t>
            </w:r>
          </w:p>
        </w:tc>
        <w:tc>
          <w:tcPr>
            <w:tcW w:w="1310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47.625,-+ n* 15.240,-</w:t>
            </w:r>
          </w:p>
        </w:tc>
        <w:tc>
          <w:tcPr>
            <w:tcW w:w="1953" w:type="dxa"/>
            <w:vAlign w:val="center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25</w:t>
            </w:r>
          </w:p>
        </w:tc>
      </w:tr>
      <w:tr w:rsidR="003E05F6" w:rsidRPr="0034335A" w:rsidTr="00F94A32">
        <w:tc>
          <w:tcPr>
            <w:tcW w:w="657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4.</w:t>
            </w:r>
          </w:p>
        </w:tc>
        <w:tc>
          <w:tcPr>
            <w:tcW w:w="1763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Gyermeksírhely</w:t>
            </w:r>
          </w:p>
        </w:tc>
        <w:tc>
          <w:tcPr>
            <w:tcW w:w="1452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12.000,-</w:t>
            </w:r>
          </w:p>
        </w:tc>
        <w:tc>
          <w:tcPr>
            <w:tcW w:w="1296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15.240,-</w:t>
            </w:r>
          </w:p>
        </w:tc>
        <w:tc>
          <w:tcPr>
            <w:tcW w:w="1310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9.000,-</w:t>
            </w:r>
          </w:p>
        </w:tc>
        <w:tc>
          <w:tcPr>
            <w:tcW w:w="1310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11.430,-</w:t>
            </w:r>
          </w:p>
        </w:tc>
        <w:tc>
          <w:tcPr>
            <w:tcW w:w="1953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25</w:t>
            </w:r>
          </w:p>
        </w:tc>
      </w:tr>
      <w:tr w:rsidR="003E05F6" w:rsidRPr="0034335A" w:rsidTr="00F94A32">
        <w:tc>
          <w:tcPr>
            <w:tcW w:w="657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5.</w:t>
            </w:r>
          </w:p>
        </w:tc>
        <w:tc>
          <w:tcPr>
            <w:tcW w:w="1763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rPr>
                <w:rFonts w:cs="Times New Roman"/>
              </w:rPr>
            </w:pPr>
            <w:r w:rsidRPr="0034335A">
              <w:rPr>
                <w:rFonts w:cs="Times New Roman"/>
              </w:rPr>
              <w:t>Urnasírhely</w:t>
            </w:r>
          </w:p>
        </w:tc>
        <w:tc>
          <w:tcPr>
            <w:tcW w:w="1452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22.000,-</w:t>
            </w:r>
          </w:p>
        </w:tc>
        <w:tc>
          <w:tcPr>
            <w:tcW w:w="1296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27.940.-</w:t>
            </w:r>
          </w:p>
        </w:tc>
        <w:tc>
          <w:tcPr>
            <w:tcW w:w="1310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16.500,-</w:t>
            </w:r>
          </w:p>
        </w:tc>
        <w:tc>
          <w:tcPr>
            <w:tcW w:w="1310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20.955,-</w:t>
            </w:r>
          </w:p>
        </w:tc>
        <w:tc>
          <w:tcPr>
            <w:tcW w:w="1953" w:type="dxa"/>
          </w:tcPr>
          <w:p w:rsidR="003E05F6" w:rsidRPr="0034335A" w:rsidRDefault="003E05F6" w:rsidP="003E05F6">
            <w:pPr>
              <w:pStyle w:val="Szvegtrzs"/>
              <w:spacing w:after="0" w:line="240" w:lineRule="auto"/>
              <w:jc w:val="center"/>
              <w:rPr>
                <w:rFonts w:cs="Times New Roman"/>
              </w:rPr>
            </w:pPr>
            <w:r w:rsidRPr="0034335A">
              <w:rPr>
                <w:rFonts w:cs="Times New Roman"/>
              </w:rPr>
              <w:t>25</w:t>
            </w:r>
          </w:p>
        </w:tc>
      </w:tr>
    </w:tbl>
    <w:p w:rsidR="003E05F6" w:rsidRPr="003E05F6" w:rsidRDefault="003E05F6" w:rsidP="003E05F6">
      <w:pPr>
        <w:ind w:left="567"/>
        <w:rPr>
          <w:rFonts w:cs="Times New Roman"/>
        </w:rPr>
      </w:pPr>
    </w:p>
    <w:p w:rsidR="003E05F6" w:rsidRPr="003E05F6" w:rsidRDefault="003E05F6" w:rsidP="003E05F6">
      <w:pPr>
        <w:pStyle w:val="Szvegtrzs"/>
        <w:spacing w:line="240" w:lineRule="auto"/>
        <w:jc w:val="both"/>
        <w:rPr>
          <w:rFonts w:cs="Times New Roman"/>
        </w:rPr>
      </w:pPr>
      <w:r w:rsidRPr="003E05F6">
        <w:rPr>
          <w:rFonts w:cs="Times New Roman"/>
        </w:rPr>
        <w:t>A 2. melléklet a Zalaszentgrót Város Önkormányzata Képviselő-testületének 13/2022. (VI. 30.) önkormányzati rendelete 6. § (1) bekezdésével megállapított szöveg.</w:t>
      </w:r>
    </w:p>
    <w:p w:rsidR="003E05F6" w:rsidRDefault="003E05F6" w:rsidP="003E05F6">
      <w:pPr>
        <w:jc w:val="both"/>
        <w:rPr>
          <w:rFonts w:cs="Times New Roman"/>
        </w:rPr>
      </w:pPr>
      <w:r w:rsidRPr="003E05F6">
        <w:rPr>
          <w:rFonts w:cs="Times New Roman"/>
        </w:rPr>
        <w:t>A</w:t>
      </w:r>
      <w:bookmarkStart w:id="0" w:name="_GoBack"/>
      <w:bookmarkEnd w:id="0"/>
      <w:r w:rsidRPr="003E05F6">
        <w:rPr>
          <w:rFonts w:cs="Times New Roman"/>
        </w:rPr>
        <w:t xml:space="preserve"> 2. melléklet a Zalaszentgrót Város Önkormányzat Képviselő-testületének 1/2023. (II.16.) önkormányzati rendelet 3. §-</w:t>
      </w:r>
      <w:proofErr w:type="spellStart"/>
      <w:r w:rsidRPr="003E05F6">
        <w:rPr>
          <w:rFonts w:cs="Times New Roman"/>
        </w:rPr>
        <w:t>ával</w:t>
      </w:r>
      <w:proofErr w:type="spellEnd"/>
      <w:r w:rsidRPr="003E05F6">
        <w:rPr>
          <w:rFonts w:cs="Times New Roman"/>
        </w:rPr>
        <w:t xml:space="preserve"> megállapított szöveg.</w:t>
      </w:r>
    </w:p>
    <w:p w:rsidR="00320753" w:rsidRPr="003E05F6" w:rsidRDefault="00320753" w:rsidP="003E05F6">
      <w:pPr>
        <w:jc w:val="both"/>
        <w:rPr>
          <w:rFonts w:cs="Times New Roman"/>
        </w:rPr>
      </w:pPr>
    </w:p>
    <w:p w:rsidR="0003331F" w:rsidRPr="003E05F6" w:rsidRDefault="000E6430" w:rsidP="003E05F6">
      <w:pPr>
        <w:pStyle w:val="Szvegtrzs"/>
        <w:spacing w:line="240" w:lineRule="auto"/>
        <w:jc w:val="right"/>
        <w:rPr>
          <w:rFonts w:cs="Times New Roman"/>
          <w:i/>
          <w:iCs/>
          <w:u w:val="single"/>
        </w:rPr>
      </w:pPr>
      <w:r w:rsidRPr="003E05F6">
        <w:rPr>
          <w:rFonts w:cs="Times New Roman"/>
          <w:i/>
          <w:iCs/>
          <w:u w:val="single"/>
        </w:rPr>
        <w:t>3. melléklet az 1/2023. (II. 16.) önkormányzati rendelethez</w:t>
      </w:r>
    </w:p>
    <w:p w:rsidR="003E05F6" w:rsidRPr="003E05F6" w:rsidRDefault="003E05F6" w:rsidP="003E05F6">
      <w:pPr>
        <w:spacing w:after="140"/>
        <w:jc w:val="right"/>
        <w:rPr>
          <w:rFonts w:cs="Times New Roman"/>
        </w:rPr>
      </w:pPr>
      <w:r w:rsidRPr="003E05F6">
        <w:rPr>
          <w:rFonts w:cs="Times New Roman"/>
          <w:b/>
          <w:i/>
        </w:rPr>
        <w:t>3. melléklet</w:t>
      </w:r>
    </w:p>
    <w:p w:rsidR="003E05F6" w:rsidRPr="003E05F6" w:rsidRDefault="003E05F6" w:rsidP="003E05F6">
      <w:pPr>
        <w:jc w:val="right"/>
        <w:rPr>
          <w:rFonts w:cs="Times New Roman"/>
          <w:b/>
          <w:i/>
        </w:rPr>
      </w:pPr>
    </w:p>
    <w:p w:rsidR="003E05F6" w:rsidRPr="003E05F6" w:rsidRDefault="003E05F6" w:rsidP="003E05F6">
      <w:pPr>
        <w:jc w:val="right"/>
        <w:outlineLvl w:val="0"/>
        <w:rPr>
          <w:rFonts w:cs="Times New Roman"/>
          <w:b/>
          <w:bCs/>
          <w:i/>
        </w:rPr>
      </w:pPr>
      <w:r w:rsidRPr="003E05F6">
        <w:rPr>
          <w:rFonts w:cs="Times New Roman"/>
          <w:b/>
          <w:bCs/>
          <w:i/>
        </w:rPr>
        <w:t>a temetőkről és temetkezésről szóló 26/2014. (XI. 28.) számú önkormányzati rendelethez</w:t>
      </w:r>
    </w:p>
    <w:p w:rsidR="003E05F6" w:rsidRPr="003E05F6" w:rsidRDefault="003E05F6" w:rsidP="003E05F6">
      <w:pPr>
        <w:rPr>
          <w:rFonts w:cs="Times New Roman"/>
          <w:b/>
        </w:rPr>
      </w:pPr>
    </w:p>
    <w:p w:rsidR="003E05F6" w:rsidRPr="003E05F6" w:rsidRDefault="003E05F6" w:rsidP="003E05F6">
      <w:pPr>
        <w:jc w:val="center"/>
        <w:rPr>
          <w:rFonts w:cs="Times New Roman"/>
          <w:b/>
        </w:rPr>
      </w:pPr>
      <w:proofErr w:type="spellStart"/>
      <w:r w:rsidRPr="003E05F6">
        <w:rPr>
          <w:rFonts w:cs="Times New Roman"/>
          <w:b/>
        </w:rPr>
        <w:t>Türjei</w:t>
      </w:r>
      <w:proofErr w:type="spellEnd"/>
      <w:r w:rsidRPr="003E05F6">
        <w:rPr>
          <w:rFonts w:cs="Times New Roman"/>
          <w:b/>
        </w:rPr>
        <w:t xml:space="preserve"> úti temető – újonnan kialakított gránit urnafal lapokkal és feliratozásukkal kapcsolatos formai követelményei</w:t>
      </w:r>
    </w:p>
    <w:p w:rsidR="003E05F6" w:rsidRP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rPr>
          <w:rFonts w:cs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3E05F6" w:rsidRPr="003E05F6" w:rsidTr="00594425">
        <w:tc>
          <w:tcPr>
            <w:tcW w:w="3681" w:type="dxa"/>
          </w:tcPr>
          <w:p w:rsidR="003E05F6" w:rsidRPr="003E05F6" w:rsidRDefault="003E05F6" w:rsidP="003E05F6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bookmarkStart w:id="1" w:name="_Hlk106199858"/>
            <w:r w:rsidRPr="003E05F6">
              <w:rPr>
                <w:rFonts w:cs="Times New Roman"/>
                <w:b/>
                <w:sz w:val="24"/>
                <w:szCs w:val="24"/>
              </w:rPr>
              <w:t>Megnevezés</w:t>
            </w:r>
          </w:p>
        </w:tc>
        <w:tc>
          <w:tcPr>
            <w:tcW w:w="5381" w:type="dxa"/>
          </w:tcPr>
          <w:p w:rsidR="003E05F6" w:rsidRPr="003E05F6" w:rsidRDefault="003E05F6" w:rsidP="003E05F6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E05F6">
              <w:rPr>
                <w:rFonts w:cs="Times New Roman"/>
                <w:b/>
                <w:sz w:val="24"/>
                <w:szCs w:val="24"/>
              </w:rPr>
              <w:t>Előírt formai követelmény</w:t>
            </w:r>
          </w:p>
          <w:p w:rsidR="003E05F6" w:rsidRPr="003E05F6" w:rsidRDefault="003E05F6" w:rsidP="003E05F6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3E05F6" w:rsidRPr="003E05F6" w:rsidTr="00594425">
        <w:tc>
          <w:tcPr>
            <w:tcW w:w="3681" w:type="dxa"/>
          </w:tcPr>
          <w:p w:rsidR="003E05F6" w:rsidRPr="003E05F6" w:rsidRDefault="003E05F6" w:rsidP="003E05F6">
            <w:pPr>
              <w:rPr>
                <w:rFonts w:cs="Times New Roman"/>
                <w:sz w:val="24"/>
                <w:szCs w:val="24"/>
              </w:rPr>
            </w:pPr>
            <w:r w:rsidRPr="003E05F6">
              <w:rPr>
                <w:rFonts w:cs="Times New Roman"/>
                <w:sz w:val="24"/>
                <w:szCs w:val="24"/>
              </w:rPr>
              <w:t xml:space="preserve">Urnafal lap </w:t>
            </w:r>
            <w:proofErr w:type="spellStart"/>
            <w:r w:rsidRPr="003E05F6">
              <w:rPr>
                <w:rFonts w:cs="Times New Roman"/>
                <w:sz w:val="24"/>
                <w:szCs w:val="24"/>
              </w:rPr>
              <w:t>anyaga</w:t>
            </w:r>
            <w:proofErr w:type="spellEnd"/>
          </w:p>
          <w:p w:rsidR="003E05F6" w:rsidRPr="003E05F6" w:rsidRDefault="003E05F6" w:rsidP="003E05F6">
            <w:pPr>
              <w:rPr>
                <w:rFonts w:cs="Times New Roman"/>
                <w:sz w:val="24"/>
                <w:szCs w:val="24"/>
              </w:rPr>
            </w:pPr>
            <w:r w:rsidRPr="003E05F6">
              <w:rPr>
                <w:rFonts w:cs="Times New Roman"/>
                <w:sz w:val="24"/>
                <w:szCs w:val="24"/>
              </w:rPr>
              <w:t>(törés miatti csere esetére):</w:t>
            </w:r>
          </w:p>
        </w:tc>
        <w:tc>
          <w:tcPr>
            <w:tcW w:w="5381" w:type="dxa"/>
          </w:tcPr>
          <w:p w:rsidR="003E05F6" w:rsidRPr="003E05F6" w:rsidRDefault="003E05F6" w:rsidP="003E05F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E05F6">
              <w:rPr>
                <w:rFonts w:cs="Times New Roman"/>
                <w:sz w:val="24"/>
                <w:szCs w:val="24"/>
              </w:rPr>
              <w:t>Lehetőség szerint a meglévővel egyező színű, Royal Black szürke gránit, vastagsága 2 cm</w:t>
            </w:r>
          </w:p>
          <w:p w:rsidR="003E05F6" w:rsidRPr="003E05F6" w:rsidRDefault="003E05F6" w:rsidP="003E05F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E05F6">
              <w:rPr>
                <w:rFonts w:cs="Times New Roman"/>
                <w:sz w:val="24"/>
                <w:szCs w:val="24"/>
              </w:rPr>
              <w:t>További eszköz, berendezés elhelyezése az urnafalon nem megengedett (tilos)</w:t>
            </w:r>
          </w:p>
        </w:tc>
      </w:tr>
      <w:tr w:rsidR="003E05F6" w:rsidRPr="003E05F6" w:rsidTr="00594425">
        <w:tc>
          <w:tcPr>
            <w:tcW w:w="3681" w:type="dxa"/>
          </w:tcPr>
          <w:p w:rsidR="003E05F6" w:rsidRPr="003E05F6" w:rsidRDefault="003E05F6" w:rsidP="003E05F6">
            <w:pPr>
              <w:rPr>
                <w:rFonts w:cs="Times New Roman"/>
                <w:sz w:val="24"/>
                <w:szCs w:val="24"/>
              </w:rPr>
            </w:pPr>
            <w:r w:rsidRPr="003E05F6">
              <w:rPr>
                <w:rFonts w:cs="Times New Roman"/>
                <w:sz w:val="24"/>
                <w:szCs w:val="24"/>
              </w:rPr>
              <w:t>Urnafal lap mérete:</w:t>
            </w:r>
          </w:p>
        </w:tc>
        <w:tc>
          <w:tcPr>
            <w:tcW w:w="5381" w:type="dxa"/>
          </w:tcPr>
          <w:p w:rsidR="003E05F6" w:rsidRPr="003E05F6" w:rsidRDefault="003E05F6" w:rsidP="003E05F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E05F6">
              <w:rPr>
                <w:rFonts w:cs="Times New Roman"/>
                <w:sz w:val="24"/>
                <w:szCs w:val="24"/>
              </w:rPr>
              <w:t>30 cm x 30 cm</w:t>
            </w:r>
          </w:p>
        </w:tc>
      </w:tr>
      <w:tr w:rsidR="003E05F6" w:rsidRPr="003E05F6" w:rsidTr="00594425">
        <w:tc>
          <w:tcPr>
            <w:tcW w:w="3681" w:type="dxa"/>
          </w:tcPr>
          <w:p w:rsidR="003E05F6" w:rsidRPr="003E05F6" w:rsidRDefault="003E05F6" w:rsidP="003E05F6">
            <w:pPr>
              <w:rPr>
                <w:rFonts w:cs="Times New Roman"/>
                <w:sz w:val="24"/>
                <w:szCs w:val="24"/>
              </w:rPr>
            </w:pPr>
            <w:r w:rsidRPr="003E05F6">
              <w:rPr>
                <w:rFonts w:cs="Times New Roman"/>
                <w:sz w:val="24"/>
                <w:szCs w:val="24"/>
              </w:rPr>
              <w:t>Betűk színe:</w:t>
            </w:r>
          </w:p>
        </w:tc>
        <w:tc>
          <w:tcPr>
            <w:tcW w:w="5381" w:type="dxa"/>
          </w:tcPr>
          <w:p w:rsidR="003E05F6" w:rsidRPr="003E05F6" w:rsidRDefault="003E05F6" w:rsidP="003E05F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E05F6">
              <w:rPr>
                <w:rFonts w:cs="Times New Roman"/>
                <w:sz w:val="24"/>
                <w:szCs w:val="24"/>
              </w:rPr>
              <w:t>Tört fehér</w:t>
            </w:r>
          </w:p>
        </w:tc>
      </w:tr>
      <w:bookmarkEnd w:id="1"/>
    </w:tbl>
    <w:p w:rsidR="003E05F6" w:rsidRPr="003E05F6" w:rsidRDefault="003E05F6" w:rsidP="003E05F6">
      <w:pPr>
        <w:rPr>
          <w:rFonts w:cs="Times New Roman"/>
          <w:b/>
          <w:u w:val="single"/>
        </w:rPr>
      </w:pPr>
    </w:p>
    <w:p w:rsidR="003E05F6" w:rsidRP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rPr>
          <w:rFonts w:cs="Times New Roman"/>
        </w:rPr>
      </w:pPr>
    </w:p>
    <w:p w:rsidR="003E05F6" w:rsidRDefault="003E05F6" w:rsidP="003E05F6">
      <w:pPr>
        <w:rPr>
          <w:rFonts w:cs="Times New Roman"/>
        </w:rPr>
      </w:pPr>
    </w:p>
    <w:p w:rsidR="003E05F6" w:rsidRDefault="003E05F6" w:rsidP="003E05F6">
      <w:pPr>
        <w:rPr>
          <w:rFonts w:cs="Times New Roman"/>
        </w:rPr>
      </w:pPr>
    </w:p>
    <w:p w:rsid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rPr>
          <w:rFonts w:cs="Times New Roman"/>
        </w:rPr>
      </w:pPr>
    </w:p>
    <w:p w:rsidR="003E05F6" w:rsidRPr="003E05F6" w:rsidRDefault="003E05F6" w:rsidP="003E05F6">
      <w:pPr>
        <w:jc w:val="both"/>
        <w:rPr>
          <w:rFonts w:cs="Times New Roman"/>
        </w:rPr>
      </w:pPr>
      <w:r w:rsidRPr="003E05F6">
        <w:rPr>
          <w:rFonts w:cs="Times New Roman"/>
        </w:rPr>
        <w:t>A 3. mellékletet a Zalaszentgrót Város Önkormányzata Képviselő-testületének 13/2022. (VI. 30.) önkormányzati rendelete 6. § (2) bekezdése iktatta be. A 3. melléklet a Zalaszentgrót Város Önkormányzata Képviselő-testületének 1/2023. (II.16.) önkormányzati rendelete 3 §-</w:t>
      </w:r>
      <w:proofErr w:type="spellStart"/>
      <w:r w:rsidRPr="003E05F6">
        <w:rPr>
          <w:rFonts w:cs="Times New Roman"/>
        </w:rPr>
        <w:t>ával</w:t>
      </w:r>
      <w:proofErr w:type="spellEnd"/>
      <w:r w:rsidRPr="003E05F6">
        <w:rPr>
          <w:rFonts w:cs="Times New Roman"/>
        </w:rPr>
        <w:t xml:space="preserve"> megállapított szöveg.</w:t>
      </w:r>
    </w:p>
    <w:p w:rsidR="003E05F6" w:rsidRPr="003E05F6" w:rsidRDefault="003E05F6" w:rsidP="003E05F6">
      <w:pPr>
        <w:pStyle w:val="Szvegtrzs"/>
        <w:spacing w:after="0" w:line="240" w:lineRule="auto"/>
        <w:rPr>
          <w:rFonts w:cs="Times New Roman"/>
        </w:rPr>
      </w:pPr>
    </w:p>
    <w:p w:rsidR="0003331F" w:rsidRPr="003E05F6" w:rsidRDefault="000E6430" w:rsidP="003E05F6">
      <w:pPr>
        <w:pStyle w:val="Szvegtrzs"/>
        <w:spacing w:after="159" w:line="240" w:lineRule="auto"/>
        <w:ind w:left="159" w:right="159"/>
        <w:jc w:val="center"/>
        <w:rPr>
          <w:rFonts w:cs="Times New Roman"/>
        </w:rPr>
      </w:pPr>
      <w:r w:rsidRPr="003E05F6">
        <w:rPr>
          <w:rFonts w:cs="Times New Roman"/>
        </w:rPr>
        <w:t>Végső előterjesztői indokolás</w:t>
      </w:r>
    </w:p>
    <w:p w:rsidR="0003331F" w:rsidRPr="003E05F6" w:rsidRDefault="000E6430" w:rsidP="003E05F6">
      <w:pPr>
        <w:pStyle w:val="Szvegtrzs"/>
        <w:spacing w:before="159" w:after="159" w:line="240" w:lineRule="auto"/>
        <w:jc w:val="both"/>
        <w:rPr>
          <w:rFonts w:cs="Times New Roman"/>
        </w:rPr>
      </w:pPr>
      <w:r w:rsidRPr="003E05F6">
        <w:rPr>
          <w:rFonts w:cs="Times New Roman"/>
        </w:rPr>
        <w:t>Zalaszentgrót Város Önkormányzata Képviselő-testülete a 26/2014. (XI.28.) számú rendeletében határozta meg a temetőkről és a temetkezés rendjéről szóló szabályokat, tekintettel arra, hogy a Magyarország helyi önkormányzatiról szóló 2011. évi CLXXXIX. törvény 13. § 81) bekezdésének 2. pontja alapján a településüzemeltetése, azon belül a köztemetők kialakítása és fenntartása helyi önkormányzati feladat.  A Zala Vármegyei Kormányhivatal célvizsgálat formájában áttekintette a vonatkozó önkormányzati rendelet, amely vonatkozásában szakmai segítségnyújtás keretében módosítások elvégzését javasolta. A javaslatok a magasabb szintű jogszabályi rendelkezéseknek, valamint a jogszabályszerkesztéssel kapcsolatos előírásoknak való maradéktalan megfelelést hivatottak szolgálni. A módosítás révén a ravatalozó használatának és igénybevételének szabályai szabályozásra kerültek, pontosításra kerül a rendelet bevezető része a hatályos jogszabályokra való hivatkozásokkal kiegészítve, felülvizsgálatra kerülnek a rendeletben megállapított díjtételek, azonban azok módosítása jelenleg nem indokolt.</w:t>
      </w:r>
    </w:p>
    <w:p w:rsidR="0003331F" w:rsidRPr="003E05F6" w:rsidRDefault="000E6430" w:rsidP="003E05F6">
      <w:pPr>
        <w:pStyle w:val="Szvegtrzs"/>
        <w:spacing w:before="159" w:after="159" w:line="240" w:lineRule="auto"/>
        <w:jc w:val="center"/>
        <w:rPr>
          <w:rFonts w:cs="Times New Roman"/>
          <w:b/>
          <w:bCs/>
        </w:rPr>
      </w:pPr>
      <w:r w:rsidRPr="003E05F6">
        <w:rPr>
          <w:rFonts w:cs="Times New Roman"/>
          <w:b/>
          <w:bCs/>
        </w:rPr>
        <w:t>Részletes Indokolás</w:t>
      </w:r>
    </w:p>
    <w:p w:rsidR="0003331F" w:rsidRPr="003E05F6" w:rsidRDefault="000E6430" w:rsidP="003E05F6">
      <w:pPr>
        <w:pStyle w:val="Szvegtrzs"/>
        <w:spacing w:before="159" w:after="159" w:line="240" w:lineRule="auto"/>
        <w:jc w:val="center"/>
        <w:rPr>
          <w:rFonts w:cs="Times New Roman"/>
          <w:b/>
          <w:bCs/>
        </w:rPr>
      </w:pPr>
      <w:r w:rsidRPr="003E05F6">
        <w:rPr>
          <w:rFonts w:cs="Times New Roman"/>
          <w:b/>
          <w:bCs/>
        </w:rPr>
        <w:t>1.§-hoz</w:t>
      </w:r>
    </w:p>
    <w:p w:rsidR="0003331F" w:rsidRPr="003E05F6" w:rsidRDefault="000E6430" w:rsidP="003E05F6">
      <w:pPr>
        <w:pStyle w:val="Szvegtrzs"/>
        <w:spacing w:before="159" w:after="159" w:line="240" w:lineRule="auto"/>
        <w:jc w:val="both"/>
        <w:rPr>
          <w:rFonts w:cs="Times New Roman"/>
        </w:rPr>
      </w:pPr>
      <w:r w:rsidRPr="003E05F6">
        <w:rPr>
          <w:rFonts w:cs="Times New Roman"/>
        </w:rPr>
        <w:t xml:space="preserve">A rendelet 1.§-a </w:t>
      </w:r>
      <w:proofErr w:type="spellStart"/>
      <w:r w:rsidRPr="003E05F6">
        <w:rPr>
          <w:rFonts w:cs="Times New Roman"/>
        </w:rPr>
        <w:t>a</w:t>
      </w:r>
      <w:proofErr w:type="spellEnd"/>
      <w:r w:rsidRPr="003E05F6">
        <w:rPr>
          <w:rFonts w:cs="Times New Roman"/>
        </w:rPr>
        <w:t xml:space="preserve"> bevezető hatályos jogszabályoknak megfelelő </w:t>
      </w:r>
      <w:proofErr w:type="spellStart"/>
      <w:r w:rsidRPr="003E05F6">
        <w:rPr>
          <w:rFonts w:cs="Times New Roman"/>
        </w:rPr>
        <w:t>újraszabályozásáról</w:t>
      </w:r>
      <w:proofErr w:type="spellEnd"/>
      <w:r w:rsidRPr="003E05F6">
        <w:rPr>
          <w:rFonts w:cs="Times New Roman"/>
        </w:rPr>
        <w:t xml:space="preserve"> rendelkezik.</w:t>
      </w:r>
    </w:p>
    <w:p w:rsidR="0003331F" w:rsidRPr="003E05F6" w:rsidRDefault="000E6430" w:rsidP="003E05F6">
      <w:pPr>
        <w:pStyle w:val="Szvegtrzs"/>
        <w:spacing w:before="159" w:after="159" w:line="240" w:lineRule="auto"/>
        <w:jc w:val="center"/>
        <w:rPr>
          <w:rFonts w:cs="Times New Roman"/>
          <w:b/>
          <w:bCs/>
        </w:rPr>
      </w:pPr>
      <w:r w:rsidRPr="003E05F6">
        <w:rPr>
          <w:rFonts w:cs="Times New Roman"/>
          <w:b/>
          <w:bCs/>
        </w:rPr>
        <w:t>2.§-hoz</w:t>
      </w:r>
    </w:p>
    <w:p w:rsidR="0003331F" w:rsidRPr="003E05F6" w:rsidRDefault="000E6430" w:rsidP="003E05F6">
      <w:pPr>
        <w:pStyle w:val="Szvegtrzs"/>
        <w:spacing w:before="159" w:after="159" w:line="240" w:lineRule="auto"/>
        <w:jc w:val="both"/>
        <w:rPr>
          <w:rFonts w:cs="Times New Roman"/>
        </w:rPr>
      </w:pPr>
      <w:r w:rsidRPr="003E05F6">
        <w:rPr>
          <w:rFonts w:cs="Times New Roman"/>
        </w:rPr>
        <w:t xml:space="preserve">A rendelet 2.§-a </w:t>
      </w:r>
      <w:proofErr w:type="spellStart"/>
      <w:r w:rsidRPr="003E05F6">
        <w:rPr>
          <w:rFonts w:cs="Times New Roman"/>
        </w:rPr>
        <w:t>a</w:t>
      </w:r>
      <w:proofErr w:type="spellEnd"/>
      <w:r w:rsidRPr="003E05F6">
        <w:rPr>
          <w:rFonts w:cs="Times New Roman"/>
        </w:rPr>
        <w:t xml:space="preserve"> ravatalozó használatának és igénybevételének szabályairól rendelkezik. </w:t>
      </w:r>
    </w:p>
    <w:p w:rsidR="0003331F" w:rsidRPr="003E05F6" w:rsidRDefault="000E6430" w:rsidP="003E05F6">
      <w:pPr>
        <w:pStyle w:val="Szvegtrzs"/>
        <w:spacing w:before="159" w:after="159" w:line="240" w:lineRule="auto"/>
        <w:jc w:val="center"/>
        <w:rPr>
          <w:rFonts w:cs="Times New Roman"/>
          <w:b/>
          <w:bCs/>
        </w:rPr>
      </w:pPr>
      <w:r w:rsidRPr="003E05F6">
        <w:rPr>
          <w:rFonts w:cs="Times New Roman"/>
          <w:b/>
          <w:bCs/>
        </w:rPr>
        <w:t>3.§-hoz</w:t>
      </w:r>
    </w:p>
    <w:p w:rsidR="0003331F" w:rsidRPr="003E05F6" w:rsidRDefault="000E6430" w:rsidP="003E05F6">
      <w:pPr>
        <w:pStyle w:val="Szvegtrzs"/>
        <w:spacing w:before="159" w:after="159" w:line="240" w:lineRule="auto"/>
        <w:jc w:val="both"/>
        <w:rPr>
          <w:rFonts w:cs="Times New Roman"/>
        </w:rPr>
      </w:pPr>
      <w:r w:rsidRPr="003E05F6">
        <w:rPr>
          <w:rFonts w:cs="Times New Roman"/>
        </w:rPr>
        <w:t>A rendelet 3.§-a az 1-3. melléklet módosításáról rendelkezik. </w:t>
      </w:r>
    </w:p>
    <w:p w:rsidR="0003331F" w:rsidRPr="003E05F6" w:rsidRDefault="000E6430" w:rsidP="003E05F6">
      <w:pPr>
        <w:pStyle w:val="Szvegtrzs"/>
        <w:spacing w:before="159" w:after="159" w:line="240" w:lineRule="auto"/>
        <w:jc w:val="center"/>
        <w:rPr>
          <w:rFonts w:cs="Times New Roman"/>
          <w:b/>
          <w:bCs/>
        </w:rPr>
      </w:pPr>
      <w:r w:rsidRPr="003E05F6">
        <w:rPr>
          <w:rFonts w:cs="Times New Roman"/>
          <w:b/>
          <w:bCs/>
        </w:rPr>
        <w:t>4.§-hoz</w:t>
      </w:r>
    </w:p>
    <w:p w:rsidR="0003331F" w:rsidRPr="003E05F6" w:rsidRDefault="000E6430" w:rsidP="003E05F6">
      <w:pPr>
        <w:pStyle w:val="Szvegtrzs"/>
        <w:spacing w:before="159" w:after="159" w:line="240" w:lineRule="auto"/>
        <w:jc w:val="both"/>
        <w:rPr>
          <w:rFonts w:cs="Times New Roman"/>
        </w:rPr>
      </w:pPr>
      <w:r w:rsidRPr="003E05F6">
        <w:rPr>
          <w:rFonts w:cs="Times New Roman"/>
        </w:rPr>
        <w:t xml:space="preserve">A rendelet 4.§-a </w:t>
      </w:r>
      <w:proofErr w:type="spellStart"/>
      <w:r w:rsidRPr="003E05F6">
        <w:rPr>
          <w:rFonts w:cs="Times New Roman"/>
        </w:rPr>
        <w:t>a</w:t>
      </w:r>
      <w:proofErr w:type="spellEnd"/>
      <w:r w:rsidRPr="003E05F6">
        <w:rPr>
          <w:rFonts w:cs="Times New Roman"/>
        </w:rPr>
        <w:t xml:space="preserve"> hatálybaléptető és a hatályon kívül helyező rendelkezéseket tartalmazza.</w:t>
      </w:r>
    </w:p>
    <w:sectPr w:rsidR="0003331F" w:rsidRPr="003E05F6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126" w:rsidRDefault="000E6430">
      <w:r>
        <w:separator/>
      </w:r>
    </w:p>
  </w:endnote>
  <w:endnote w:type="continuationSeparator" w:id="0">
    <w:p w:rsidR="00E10126" w:rsidRDefault="000E6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331F" w:rsidRDefault="000E643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126" w:rsidRDefault="000E6430">
      <w:r>
        <w:separator/>
      </w:r>
    </w:p>
  </w:footnote>
  <w:footnote w:type="continuationSeparator" w:id="0">
    <w:p w:rsidR="00E10126" w:rsidRDefault="000E6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0B1989"/>
    <w:multiLevelType w:val="hybridMultilevel"/>
    <w:tmpl w:val="8A322276"/>
    <w:lvl w:ilvl="0" w:tplc="F0D23CE0">
      <w:start w:val="20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F133EB"/>
    <w:multiLevelType w:val="multilevel"/>
    <w:tmpl w:val="0B589C0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B9071DA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31F"/>
    <w:rsid w:val="0003331F"/>
    <w:rsid w:val="000E6430"/>
    <w:rsid w:val="00320753"/>
    <w:rsid w:val="0034335A"/>
    <w:rsid w:val="003E05F6"/>
    <w:rsid w:val="00541AA0"/>
    <w:rsid w:val="00AE07C5"/>
    <w:rsid w:val="00E10126"/>
    <w:rsid w:val="00F10B13"/>
    <w:rsid w:val="00F9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8EADD6-6A17-44E8-A105-491711084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table" w:styleId="Rcsostblzat">
    <w:name w:val="Table Grid"/>
    <w:basedOn w:val="Normltblzat"/>
    <w:uiPriority w:val="39"/>
    <w:rsid w:val="003E05F6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hu-H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zvegtrzsChar">
    <w:name w:val="Szövegtörzs Char"/>
    <w:basedOn w:val="Bekezdsalapbettpusa"/>
    <w:link w:val="Szvegtrzs"/>
    <w:rsid w:val="00F10B13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1222</Words>
  <Characters>8434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Jegyző</cp:lastModifiedBy>
  <cp:revision>9</cp:revision>
  <dcterms:created xsi:type="dcterms:W3CDTF">2023-02-06T07:10:00Z</dcterms:created>
  <dcterms:modified xsi:type="dcterms:W3CDTF">2023-02-09T12:21:00Z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